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189AD" w14:textId="3401BB7A" w:rsidR="23B477DD" w:rsidRPr="001E0FA2" w:rsidRDefault="23B477DD" w:rsidP="5820EBE0">
      <w:pPr>
        <w:pStyle w:val="Paragrafoelenco"/>
        <w:numPr>
          <w:ilvl w:val="0"/>
          <w:numId w:val="7"/>
        </w:numPr>
        <w:rPr>
          <w:rFonts w:eastAsiaTheme="minorEastAsia"/>
        </w:rPr>
      </w:pPr>
      <w:r w:rsidRPr="001E0FA2">
        <w:rPr>
          <w:b/>
          <w:bCs/>
          <w:lang w:val="it"/>
        </w:rPr>
        <w:t>LO SPETTRO DEL DECLINO COGNITIVO</w:t>
      </w:r>
      <w:r w:rsidR="6F0A5E16" w:rsidRPr="001E0FA2">
        <w:rPr>
          <w:b/>
          <w:bCs/>
          <w:lang w:val="it"/>
        </w:rPr>
        <w:t xml:space="preserve"> </w:t>
      </w:r>
    </w:p>
    <w:p w14:paraId="61AF37E5" w14:textId="3D97A9D8" w:rsidR="5820EBE0" w:rsidRPr="001E0FA2" w:rsidRDefault="5820EBE0" w:rsidP="5820EBE0">
      <w:pPr>
        <w:rPr>
          <w:b/>
          <w:bCs/>
          <w:lang w:val="it"/>
        </w:rPr>
      </w:pPr>
    </w:p>
    <w:p w14:paraId="2A9AB0EB" w14:textId="33A32F5E" w:rsidR="37C60D68" w:rsidRPr="001E0FA2" w:rsidRDefault="37C60D68" w:rsidP="5820EBE0">
      <w:pPr>
        <w:pStyle w:val="Paragrafoelenco"/>
        <w:numPr>
          <w:ilvl w:val="1"/>
          <w:numId w:val="2"/>
        </w:numPr>
        <w:rPr>
          <w:rFonts w:eastAsiaTheme="minorEastAsia"/>
          <w:i/>
          <w:iCs/>
        </w:rPr>
      </w:pPr>
      <w:r w:rsidRPr="001E0FA2">
        <w:rPr>
          <w:i/>
          <w:iCs/>
          <w:lang w:val="it"/>
        </w:rPr>
        <w:t xml:space="preserve">Le demenze, l’ictus e l’emicrania sono </w:t>
      </w:r>
      <w:r w:rsidR="4784013E" w:rsidRPr="001E0FA2">
        <w:t xml:space="preserve">tra le prime </w:t>
      </w:r>
      <w:proofErr w:type="gramStart"/>
      <w:r w:rsidR="4784013E" w:rsidRPr="001E0FA2">
        <w:t>10</w:t>
      </w:r>
      <w:proofErr w:type="gramEnd"/>
      <w:r w:rsidR="4784013E" w:rsidRPr="001E0FA2">
        <w:t xml:space="preserve"> cause d’invalidità (OMS</w:t>
      </w:r>
      <w:r w:rsidR="3080C03A" w:rsidRPr="001E0FA2">
        <w:t xml:space="preserve"> - </w:t>
      </w:r>
      <w:r w:rsidR="3080C03A" w:rsidRPr="001E0FA2">
        <w:rPr>
          <w:i/>
          <w:iCs/>
          <w:lang w:val="it"/>
        </w:rPr>
        <w:t xml:space="preserve">Global </w:t>
      </w:r>
      <w:proofErr w:type="spellStart"/>
      <w:r w:rsidR="3080C03A" w:rsidRPr="001E0FA2">
        <w:rPr>
          <w:i/>
          <w:iCs/>
          <w:lang w:val="it"/>
        </w:rPr>
        <w:t>Burden</w:t>
      </w:r>
      <w:proofErr w:type="spellEnd"/>
      <w:r w:rsidR="3080C03A" w:rsidRPr="001E0FA2">
        <w:rPr>
          <w:i/>
          <w:iCs/>
          <w:lang w:val="it"/>
        </w:rPr>
        <w:t xml:space="preserve"> of </w:t>
      </w:r>
      <w:proofErr w:type="spellStart"/>
      <w:r w:rsidR="3080C03A" w:rsidRPr="001E0FA2">
        <w:rPr>
          <w:i/>
          <w:iCs/>
          <w:lang w:val="it"/>
        </w:rPr>
        <w:t>Disease</w:t>
      </w:r>
      <w:proofErr w:type="spellEnd"/>
      <w:r w:rsidR="4784013E" w:rsidRPr="001E0FA2">
        <w:t>)</w:t>
      </w:r>
      <w:r w:rsidRPr="001E0FA2">
        <w:br/>
      </w:r>
    </w:p>
    <w:p w14:paraId="01FD3B85" w14:textId="3DCA4B61" w:rsidR="00886A30" w:rsidRPr="001E0FA2" w:rsidRDefault="297E705A" w:rsidP="0C11C1A8">
      <w:pPr>
        <w:pStyle w:val="Paragrafoelenco"/>
        <w:numPr>
          <w:ilvl w:val="1"/>
          <w:numId w:val="7"/>
        </w:numPr>
      </w:pPr>
      <w:r w:rsidRPr="001E0FA2">
        <w:t>Demenza di Alzheimer</w:t>
      </w:r>
      <w:r w:rsidR="641FB683" w:rsidRPr="001E0FA2">
        <w:t xml:space="preserve"> in Europa</w:t>
      </w:r>
      <w:r w:rsidR="1519DD99" w:rsidRPr="001E0FA2">
        <w:t xml:space="preserve">: </w:t>
      </w:r>
    </w:p>
    <w:p w14:paraId="329EF3B8" w14:textId="1EDE5B7B" w:rsidR="00886A30" w:rsidRPr="001E0FA2" w:rsidRDefault="419363E2" w:rsidP="0C11C1A8">
      <w:pPr>
        <w:pStyle w:val="Paragrafoelenco"/>
        <w:numPr>
          <w:ilvl w:val="2"/>
          <w:numId w:val="7"/>
        </w:numPr>
        <w:rPr>
          <w:rFonts w:eastAsiaTheme="minorEastAsia"/>
        </w:rPr>
      </w:pPr>
      <w:r w:rsidRPr="001E0FA2">
        <w:t>54% delle demenze</w:t>
      </w:r>
    </w:p>
    <w:p w14:paraId="5F2CB5AE" w14:textId="4A529E33" w:rsidR="00886A30" w:rsidRPr="001E0FA2" w:rsidRDefault="419363E2" w:rsidP="0C11C1A8">
      <w:pPr>
        <w:pStyle w:val="Paragrafoelenco"/>
        <w:numPr>
          <w:ilvl w:val="2"/>
          <w:numId w:val="7"/>
        </w:numPr>
        <w:rPr>
          <w:rFonts w:eastAsiaTheme="minorEastAsia"/>
        </w:rPr>
      </w:pPr>
      <w:r w:rsidRPr="001E0FA2">
        <w:t>Prevalenza del 4.4% tra gli over 65</w:t>
      </w:r>
    </w:p>
    <w:p w14:paraId="0F5EE58F" w14:textId="043ED8B3" w:rsidR="00886A30" w:rsidRPr="001E0FA2" w:rsidRDefault="4FFA3A4B" w:rsidP="0C11C1A8">
      <w:pPr>
        <w:pStyle w:val="Paragrafoelenco"/>
        <w:numPr>
          <w:ilvl w:val="1"/>
          <w:numId w:val="7"/>
        </w:numPr>
      </w:pPr>
      <w:r w:rsidRPr="001E0FA2">
        <w:t xml:space="preserve">Demenza di Alzheimer in Italia: </w:t>
      </w:r>
    </w:p>
    <w:p w14:paraId="1D804D28" w14:textId="35587D8B" w:rsidR="00886A30" w:rsidRPr="001E0FA2" w:rsidRDefault="7A04C472" w:rsidP="5820EBE0">
      <w:pPr>
        <w:pStyle w:val="Paragrafoelenco"/>
        <w:numPr>
          <w:ilvl w:val="2"/>
          <w:numId w:val="7"/>
        </w:numPr>
        <w:rPr>
          <w:rFonts w:eastAsiaTheme="minorEastAsia"/>
        </w:rPr>
      </w:pPr>
      <w:r w:rsidRPr="001E0FA2">
        <w:t>2,5% (</w:t>
      </w:r>
      <w:proofErr w:type="spellStart"/>
      <w:r w:rsidRPr="001E0FA2">
        <w:t>ca</w:t>
      </w:r>
      <w:proofErr w:type="spellEnd"/>
      <w:r w:rsidRPr="001E0FA2">
        <w:t xml:space="preserve"> m</w:t>
      </w:r>
      <w:r w:rsidR="18DFA60A" w:rsidRPr="001E0FA2">
        <w:t>età della percentuale europea</w:t>
      </w:r>
      <w:r w:rsidR="5773E692" w:rsidRPr="001E0FA2">
        <w:t>)</w:t>
      </w:r>
    </w:p>
    <w:p w14:paraId="52B35F5F" w14:textId="5B74DD5D" w:rsidR="651BFF8F" w:rsidRPr="001E0FA2" w:rsidRDefault="651BFF8F" w:rsidP="5820EBE0">
      <w:pPr>
        <w:pStyle w:val="Paragrafoelenco"/>
        <w:numPr>
          <w:ilvl w:val="1"/>
          <w:numId w:val="7"/>
        </w:numPr>
      </w:pPr>
      <w:r w:rsidRPr="001E0FA2">
        <w:t>Tutte le demenze, in Italia ed Europa:</w:t>
      </w:r>
    </w:p>
    <w:p w14:paraId="45FE2441" w14:textId="0F2F23FD" w:rsidR="651BFF8F" w:rsidRPr="001E0FA2" w:rsidRDefault="651BFF8F" w:rsidP="5820EBE0">
      <w:pPr>
        <w:pStyle w:val="Paragrafoelenco"/>
        <w:numPr>
          <w:ilvl w:val="2"/>
          <w:numId w:val="7"/>
        </w:numPr>
        <w:rPr>
          <w:rFonts w:eastAsiaTheme="minorEastAsia"/>
        </w:rPr>
      </w:pPr>
      <w:r w:rsidRPr="001E0FA2">
        <w:t>Circa il 6%</w:t>
      </w:r>
      <w:r w:rsidR="2C60AEFE" w:rsidRPr="001E0FA2">
        <w:t xml:space="preserve"> tra gli over 65</w:t>
      </w:r>
      <w:r w:rsidRPr="001E0FA2">
        <w:br/>
      </w:r>
    </w:p>
    <w:p w14:paraId="09D366D4" w14:textId="042B5149" w:rsidR="44D4FA31" w:rsidRPr="001E0FA2" w:rsidRDefault="44D4FA31" w:rsidP="0C11C1A8">
      <w:pPr>
        <w:pStyle w:val="Paragrafoelenco"/>
        <w:numPr>
          <w:ilvl w:val="1"/>
          <w:numId w:val="7"/>
        </w:numPr>
      </w:pPr>
      <w:r w:rsidRPr="001E0FA2">
        <w:t xml:space="preserve">Demenza vascolare (o </w:t>
      </w:r>
      <w:proofErr w:type="spellStart"/>
      <w:r w:rsidRPr="001E0FA2">
        <w:t>multinfartuale</w:t>
      </w:r>
      <w:proofErr w:type="spellEnd"/>
      <w:r w:rsidRPr="001E0FA2">
        <w:t>): seconda causa di demenza dopo quella di Alzheimer</w:t>
      </w:r>
    </w:p>
    <w:p w14:paraId="371ED6DA" w14:textId="788DEAE0" w:rsidR="00886A30" w:rsidRPr="001E0FA2" w:rsidRDefault="44D4FA31" w:rsidP="5820EBE0">
      <w:pPr>
        <w:pStyle w:val="Paragrafoelenco"/>
        <w:numPr>
          <w:ilvl w:val="1"/>
          <w:numId w:val="7"/>
        </w:numPr>
      </w:pPr>
      <w:r w:rsidRPr="001E0FA2">
        <w:t xml:space="preserve">Deterioramento cognitivo lieve: stato di transizione tra </w:t>
      </w:r>
      <w:r w:rsidR="0BB32197" w:rsidRPr="001E0FA2">
        <w:t>l’</w:t>
      </w:r>
      <w:r w:rsidRPr="001E0FA2">
        <w:t>invecchiamento</w:t>
      </w:r>
      <w:r w:rsidR="4966F1BC" w:rsidRPr="001E0FA2">
        <w:t xml:space="preserve"> normale</w:t>
      </w:r>
      <w:r w:rsidR="240EAD70" w:rsidRPr="001E0FA2">
        <w:t xml:space="preserve"> e</w:t>
      </w:r>
      <w:r w:rsidRPr="001E0FA2">
        <w:t xml:space="preserve"> </w:t>
      </w:r>
      <w:r w:rsidR="37FEF555" w:rsidRPr="001E0FA2">
        <w:t xml:space="preserve">la </w:t>
      </w:r>
      <w:r w:rsidRPr="001E0FA2">
        <w:t>demenza</w:t>
      </w:r>
      <w:r w:rsidR="503A6B0A" w:rsidRPr="001E0FA2">
        <w:t xml:space="preserve">. È considerato </w:t>
      </w:r>
      <w:r w:rsidRPr="001E0FA2">
        <w:t>una sindrome prodromica dell’Alzheimer</w:t>
      </w:r>
      <w:r w:rsidR="00886A30" w:rsidRPr="001E0FA2">
        <w:br/>
      </w:r>
    </w:p>
    <w:p w14:paraId="75E84733" w14:textId="10831D50" w:rsidR="00886A30" w:rsidRPr="001E0FA2" w:rsidRDefault="7B5E4747" w:rsidP="0C11C1A8">
      <w:pPr>
        <w:pStyle w:val="Paragrafoelenco"/>
        <w:numPr>
          <w:ilvl w:val="1"/>
          <w:numId w:val="7"/>
        </w:numPr>
      </w:pPr>
      <w:r w:rsidRPr="001E0FA2">
        <w:t>Traumi cranici: 250 pazienti su 100mila abitanti all’anno</w:t>
      </w:r>
      <w:r w:rsidR="00886A30" w:rsidRPr="001E0FA2">
        <w:br/>
      </w:r>
    </w:p>
    <w:p w14:paraId="05E32AB5" w14:textId="7CE6BF49" w:rsidR="00886A30" w:rsidRPr="001E0FA2" w:rsidRDefault="7A957E00" w:rsidP="5820EBE0">
      <w:pPr>
        <w:pStyle w:val="Paragrafoelenco"/>
        <w:numPr>
          <w:ilvl w:val="1"/>
          <w:numId w:val="1"/>
        </w:numPr>
        <w:rPr>
          <w:rFonts w:eastAsiaTheme="minorEastAsia"/>
        </w:rPr>
      </w:pPr>
      <w:r w:rsidRPr="001E0FA2">
        <w:t>Ictus: 100 mila casi all’anno</w:t>
      </w:r>
      <w:r w:rsidR="3C5A0A6B" w:rsidRPr="001E0FA2">
        <w:t xml:space="preserve"> in Italia</w:t>
      </w:r>
    </w:p>
    <w:p w14:paraId="20B81284" w14:textId="74CC69AE" w:rsidR="00886A30" w:rsidRPr="001E0FA2" w:rsidRDefault="1B284AE2" w:rsidP="5820EBE0">
      <w:pPr>
        <w:pStyle w:val="Paragrafoelenco"/>
        <w:numPr>
          <w:ilvl w:val="2"/>
          <w:numId w:val="1"/>
        </w:numPr>
        <w:rPr>
          <w:rFonts w:eastAsiaTheme="minorEastAsia"/>
        </w:rPr>
      </w:pPr>
      <w:r w:rsidRPr="001E0FA2">
        <w:t>O</w:t>
      </w:r>
      <w:r w:rsidR="6350841D" w:rsidRPr="001E0FA2">
        <w:t>ltre 900 mila i sopravvissuti</w:t>
      </w:r>
      <w:r w:rsidR="11810956" w:rsidRPr="001E0FA2">
        <w:t xml:space="preserve"> in Italia</w:t>
      </w:r>
      <w:r w:rsidR="2D160DF7" w:rsidRPr="001E0FA2">
        <w:t>:</w:t>
      </w:r>
      <w:r w:rsidR="6350841D" w:rsidRPr="001E0FA2">
        <w:t xml:space="preserve"> </w:t>
      </w:r>
      <w:r w:rsidR="76CC87D6" w:rsidRPr="001E0FA2">
        <w:t>uno</w:t>
      </w:r>
      <w:r w:rsidR="6350841D" w:rsidRPr="001E0FA2">
        <w:t xml:space="preserve"> su tre presenta un grado di disabilità elevato</w:t>
      </w:r>
      <w:r w:rsidR="0CAD4CC1" w:rsidRPr="001E0FA2">
        <w:t>.</w:t>
      </w:r>
    </w:p>
    <w:p w14:paraId="7C79D954" w14:textId="41FDEA07" w:rsidR="00886A30" w:rsidRPr="001E0FA2" w:rsidRDefault="4D84356D" w:rsidP="5820EBE0">
      <w:pPr>
        <w:pStyle w:val="Paragrafoelenco"/>
        <w:numPr>
          <w:ilvl w:val="1"/>
          <w:numId w:val="1"/>
        </w:numPr>
        <w:rPr>
          <w:rFonts w:eastAsiaTheme="minorEastAsia"/>
        </w:rPr>
      </w:pPr>
      <w:r w:rsidRPr="001E0FA2">
        <w:t>Ictus</w:t>
      </w:r>
      <w:r w:rsidR="15CA18C2" w:rsidRPr="001E0FA2">
        <w:t xml:space="preserve"> nel Mondo</w:t>
      </w:r>
    </w:p>
    <w:p w14:paraId="2B8689C9" w14:textId="7EE2CBE2" w:rsidR="00886A30" w:rsidRPr="001E0FA2" w:rsidRDefault="15CA18C2" w:rsidP="5820EBE0">
      <w:pPr>
        <w:pStyle w:val="Paragrafoelenco"/>
        <w:numPr>
          <w:ilvl w:val="2"/>
          <w:numId w:val="1"/>
        </w:numPr>
        <w:rPr>
          <w:rFonts w:eastAsiaTheme="minorEastAsia"/>
        </w:rPr>
      </w:pPr>
      <w:r w:rsidRPr="001E0FA2">
        <w:t>N</w:t>
      </w:r>
      <w:r w:rsidR="54B04F71" w:rsidRPr="001E0FA2">
        <w:t>ei Paesi sviluppati l’incidenza è scesa del 4</w:t>
      </w:r>
      <w:r w:rsidR="6B7B8D37" w:rsidRPr="001E0FA2">
        <w:t>2</w:t>
      </w:r>
      <w:r w:rsidR="54B04F71" w:rsidRPr="001E0FA2">
        <w:t>% in 40 anni</w:t>
      </w:r>
      <w:r w:rsidR="24BB0FEB" w:rsidRPr="001E0FA2">
        <w:t>. Diminuiscono i ricoveri ma aumenta</w:t>
      </w:r>
      <w:r w:rsidR="0879D675" w:rsidRPr="001E0FA2">
        <w:t xml:space="preserve"> progressivamente</w:t>
      </w:r>
      <w:r w:rsidR="24BB0FEB" w:rsidRPr="001E0FA2">
        <w:t xml:space="preserve"> il numero di soggetti </w:t>
      </w:r>
      <w:r w:rsidR="292AE724" w:rsidRPr="001E0FA2">
        <w:t xml:space="preserve">resi </w:t>
      </w:r>
      <w:r w:rsidR="24BB0FEB" w:rsidRPr="001E0FA2">
        <w:t>invalidi</w:t>
      </w:r>
      <w:r w:rsidR="0A3DD4C5" w:rsidRPr="001E0FA2">
        <w:t>.</w:t>
      </w:r>
    </w:p>
    <w:p w14:paraId="1356B7B8" w14:textId="5DACEFF6" w:rsidR="00886A30" w:rsidRPr="001E0FA2" w:rsidRDefault="24BB0FEB" w:rsidP="5820EBE0">
      <w:pPr>
        <w:pStyle w:val="Paragrafoelenco"/>
        <w:numPr>
          <w:ilvl w:val="2"/>
          <w:numId w:val="1"/>
        </w:numPr>
      </w:pPr>
      <w:r w:rsidRPr="001E0FA2">
        <w:rPr>
          <w:lang w:val="it"/>
        </w:rPr>
        <w:t>Rappresenta la seconda causa di morte e la terza di disabilità</w:t>
      </w:r>
      <w:r w:rsidR="0A3DD4C5" w:rsidRPr="001E0FA2">
        <w:rPr>
          <w:lang w:val="it"/>
        </w:rPr>
        <w:t>.</w:t>
      </w:r>
    </w:p>
    <w:p w14:paraId="6317E774" w14:textId="23F7B530" w:rsidR="00886A30" w:rsidRPr="001E0FA2" w:rsidRDefault="00886A30" w:rsidP="5820EBE0">
      <w:pPr>
        <w:ind w:left="1440"/>
      </w:pPr>
    </w:p>
    <w:p w14:paraId="220E09CE" w14:textId="500EE942" w:rsidR="6C5F1704" w:rsidRPr="001E0FA2" w:rsidRDefault="6C5F1704" w:rsidP="5820EBE0">
      <w:pPr>
        <w:pStyle w:val="Paragrafoelenco"/>
        <w:numPr>
          <w:ilvl w:val="1"/>
          <w:numId w:val="1"/>
        </w:numPr>
        <w:rPr>
          <w:rFonts w:eastAsiaTheme="minorEastAsia"/>
        </w:rPr>
      </w:pPr>
      <w:r w:rsidRPr="001E0FA2">
        <w:t>Morbo di Parkinson</w:t>
      </w:r>
      <w:r w:rsidR="56F9B472" w:rsidRPr="001E0FA2">
        <w:t xml:space="preserve"> in Italia</w:t>
      </w:r>
      <w:r w:rsidRPr="001E0FA2">
        <w:t xml:space="preserve">: </w:t>
      </w:r>
    </w:p>
    <w:p w14:paraId="28795121" w14:textId="268F088A" w:rsidR="6C5F1704" w:rsidRPr="001E0FA2" w:rsidRDefault="0DEFD225" w:rsidP="5820EBE0">
      <w:pPr>
        <w:pStyle w:val="Paragrafoelenco"/>
        <w:numPr>
          <w:ilvl w:val="2"/>
          <w:numId w:val="1"/>
        </w:numPr>
        <w:rPr>
          <w:rFonts w:eastAsiaTheme="minorEastAsia"/>
        </w:rPr>
      </w:pPr>
      <w:r w:rsidRPr="001E0FA2">
        <w:t xml:space="preserve">600 mila </w:t>
      </w:r>
      <w:r w:rsidR="136565CB" w:rsidRPr="001E0FA2">
        <w:t>i malati</w:t>
      </w:r>
    </w:p>
    <w:p w14:paraId="45749784" w14:textId="7710CB60" w:rsidR="6C5F1704" w:rsidRPr="001E0FA2" w:rsidRDefault="136565CB" w:rsidP="5820EBE0">
      <w:pPr>
        <w:pStyle w:val="Paragrafoelenco"/>
        <w:numPr>
          <w:ilvl w:val="2"/>
          <w:numId w:val="1"/>
        </w:numPr>
        <w:rPr>
          <w:rFonts w:eastAsiaTheme="minorEastAsia"/>
        </w:rPr>
      </w:pPr>
      <w:r w:rsidRPr="001E0FA2">
        <w:t>C</w:t>
      </w:r>
      <w:r w:rsidR="6C5F1704" w:rsidRPr="001E0FA2">
        <w:t xml:space="preserve">olpisce </w:t>
      </w:r>
      <w:r w:rsidR="3412F332" w:rsidRPr="001E0FA2">
        <w:t>l’1% degli over 65 (</w:t>
      </w:r>
      <w:r w:rsidR="6C5F1704" w:rsidRPr="001E0FA2">
        <w:t>0.3% della popolazione general</w:t>
      </w:r>
      <w:r w:rsidR="33D6FE15" w:rsidRPr="001E0FA2">
        <w:t>e</w:t>
      </w:r>
      <w:r w:rsidR="7659DF0C" w:rsidRPr="001E0FA2">
        <w:t>)</w:t>
      </w:r>
    </w:p>
    <w:p w14:paraId="0C91D393" w14:textId="034AB795" w:rsidR="6C5F1704" w:rsidRPr="001E0FA2" w:rsidRDefault="4AC41AC1" w:rsidP="5820EBE0">
      <w:pPr>
        <w:pStyle w:val="Paragrafoelenco"/>
        <w:numPr>
          <w:ilvl w:val="2"/>
          <w:numId w:val="1"/>
        </w:numPr>
      </w:pPr>
      <w:r w:rsidRPr="001E0FA2">
        <w:t xml:space="preserve">È </w:t>
      </w:r>
      <w:r w:rsidR="3D1F8E0B" w:rsidRPr="001E0FA2">
        <w:t xml:space="preserve">in </w:t>
      </w:r>
      <w:r w:rsidR="293BD859" w:rsidRPr="001E0FA2">
        <w:t>crescita tra</w:t>
      </w:r>
      <w:r w:rsidR="5E9D492F" w:rsidRPr="001E0FA2">
        <w:t xml:space="preserve"> </w:t>
      </w:r>
      <w:r w:rsidR="3D1F8E0B" w:rsidRPr="001E0FA2">
        <w:t>le fasce d’età più giovani</w:t>
      </w:r>
    </w:p>
    <w:p w14:paraId="20CD5179" w14:textId="5184C6FA" w:rsidR="00174038" w:rsidRDefault="00174038" w:rsidP="5820EBE0">
      <w:pPr>
        <w:ind w:left="1440"/>
      </w:pPr>
    </w:p>
    <w:sectPr w:rsidR="001740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00C72" w14:textId="77777777" w:rsidR="003F7181" w:rsidRDefault="003F7181" w:rsidP="00174038">
      <w:pPr>
        <w:spacing w:after="0" w:line="240" w:lineRule="auto"/>
      </w:pPr>
      <w:r>
        <w:separator/>
      </w:r>
    </w:p>
  </w:endnote>
  <w:endnote w:type="continuationSeparator" w:id="0">
    <w:p w14:paraId="64F4C94C" w14:textId="77777777" w:rsidR="003F7181" w:rsidRDefault="003F7181" w:rsidP="0017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1E914" w14:textId="77777777" w:rsidR="003F7181" w:rsidRDefault="003F7181" w:rsidP="00174038">
      <w:pPr>
        <w:spacing w:after="0" w:line="240" w:lineRule="auto"/>
      </w:pPr>
      <w:r>
        <w:separator/>
      </w:r>
    </w:p>
  </w:footnote>
  <w:footnote w:type="continuationSeparator" w:id="0">
    <w:p w14:paraId="688D9F3A" w14:textId="77777777" w:rsidR="003F7181" w:rsidRDefault="003F7181" w:rsidP="00174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1328B"/>
    <w:multiLevelType w:val="hybridMultilevel"/>
    <w:tmpl w:val="6994C458"/>
    <w:lvl w:ilvl="0" w:tplc="DD7A54E4">
      <w:start w:val="1"/>
      <w:numFmt w:val="decimal"/>
      <w:lvlText w:val="%1."/>
      <w:lvlJc w:val="left"/>
      <w:pPr>
        <w:ind w:left="720" w:hanging="360"/>
      </w:pPr>
    </w:lvl>
    <w:lvl w:ilvl="1" w:tplc="2B5814DE">
      <w:start w:val="1"/>
      <w:numFmt w:val="lowerLetter"/>
      <w:lvlText w:val="%2."/>
      <w:lvlJc w:val="left"/>
      <w:pPr>
        <w:ind w:left="1440" w:hanging="360"/>
      </w:pPr>
    </w:lvl>
    <w:lvl w:ilvl="2" w:tplc="00DA1DC6">
      <w:start w:val="1"/>
      <w:numFmt w:val="lowerRoman"/>
      <w:lvlText w:val="%3."/>
      <w:lvlJc w:val="right"/>
      <w:pPr>
        <w:ind w:left="2160" w:hanging="180"/>
      </w:pPr>
    </w:lvl>
    <w:lvl w:ilvl="3" w:tplc="8656361C">
      <w:start w:val="1"/>
      <w:numFmt w:val="decimal"/>
      <w:lvlText w:val="%4."/>
      <w:lvlJc w:val="left"/>
      <w:pPr>
        <w:ind w:left="2880" w:hanging="360"/>
      </w:pPr>
    </w:lvl>
    <w:lvl w:ilvl="4" w:tplc="1E3E816E">
      <w:start w:val="1"/>
      <w:numFmt w:val="lowerLetter"/>
      <w:lvlText w:val="%5."/>
      <w:lvlJc w:val="left"/>
      <w:pPr>
        <w:ind w:left="3600" w:hanging="360"/>
      </w:pPr>
    </w:lvl>
    <w:lvl w:ilvl="5" w:tplc="B7D01A82">
      <w:start w:val="1"/>
      <w:numFmt w:val="lowerRoman"/>
      <w:lvlText w:val="%6."/>
      <w:lvlJc w:val="right"/>
      <w:pPr>
        <w:ind w:left="4320" w:hanging="180"/>
      </w:pPr>
    </w:lvl>
    <w:lvl w:ilvl="6" w:tplc="7444B600">
      <w:start w:val="1"/>
      <w:numFmt w:val="decimal"/>
      <w:lvlText w:val="%7."/>
      <w:lvlJc w:val="left"/>
      <w:pPr>
        <w:ind w:left="5040" w:hanging="360"/>
      </w:pPr>
    </w:lvl>
    <w:lvl w:ilvl="7" w:tplc="D6DE9070">
      <w:start w:val="1"/>
      <w:numFmt w:val="lowerLetter"/>
      <w:lvlText w:val="%8."/>
      <w:lvlJc w:val="left"/>
      <w:pPr>
        <w:ind w:left="5760" w:hanging="360"/>
      </w:pPr>
    </w:lvl>
    <w:lvl w:ilvl="8" w:tplc="9FC4C91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F2B44"/>
    <w:multiLevelType w:val="hybridMultilevel"/>
    <w:tmpl w:val="070CD1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40AA2"/>
    <w:multiLevelType w:val="hybridMultilevel"/>
    <w:tmpl w:val="36E07FBC"/>
    <w:lvl w:ilvl="0" w:tplc="CA76C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842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94E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482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0C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324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ED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004B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689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32F4C"/>
    <w:multiLevelType w:val="hybridMultilevel"/>
    <w:tmpl w:val="50E615FA"/>
    <w:lvl w:ilvl="0" w:tplc="9E083C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1A63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98C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69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8B5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2EB5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AB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64D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4E5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106EB"/>
    <w:multiLevelType w:val="hybridMultilevel"/>
    <w:tmpl w:val="50B49220"/>
    <w:lvl w:ilvl="0" w:tplc="4F38A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70ED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E668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E4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ECA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A67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2C66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DA5D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648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F79E4"/>
    <w:multiLevelType w:val="hybridMultilevel"/>
    <w:tmpl w:val="DAE07E3E"/>
    <w:lvl w:ilvl="0" w:tplc="98A437AA">
      <w:start w:val="1"/>
      <w:numFmt w:val="decimal"/>
      <w:lvlText w:val="%1."/>
      <w:lvlJc w:val="left"/>
      <w:pPr>
        <w:ind w:left="720" w:hanging="360"/>
      </w:pPr>
    </w:lvl>
    <w:lvl w:ilvl="1" w:tplc="EFDE9EE6">
      <w:start w:val="1"/>
      <w:numFmt w:val="lowerLetter"/>
      <w:lvlText w:val="%2."/>
      <w:lvlJc w:val="left"/>
      <w:pPr>
        <w:ind w:left="1440" w:hanging="360"/>
      </w:pPr>
    </w:lvl>
    <w:lvl w:ilvl="2" w:tplc="529EDFFC">
      <w:start w:val="1"/>
      <w:numFmt w:val="lowerRoman"/>
      <w:lvlText w:val="%3."/>
      <w:lvlJc w:val="right"/>
      <w:pPr>
        <w:ind w:left="2160" w:hanging="180"/>
      </w:pPr>
    </w:lvl>
    <w:lvl w:ilvl="3" w:tplc="573C3408">
      <w:start w:val="1"/>
      <w:numFmt w:val="decimal"/>
      <w:lvlText w:val="%4."/>
      <w:lvlJc w:val="left"/>
      <w:pPr>
        <w:ind w:left="2880" w:hanging="360"/>
      </w:pPr>
    </w:lvl>
    <w:lvl w:ilvl="4" w:tplc="80968C20">
      <w:start w:val="1"/>
      <w:numFmt w:val="lowerLetter"/>
      <w:lvlText w:val="%5."/>
      <w:lvlJc w:val="left"/>
      <w:pPr>
        <w:ind w:left="3600" w:hanging="360"/>
      </w:pPr>
    </w:lvl>
    <w:lvl w:ilvl="5" w:tplc="235CF2C2">
      <w:start w:val="1"/>
      <w:numFmt w:val="lowerRoman"/>
      <w:lvlText w:val="%6."/>
      <w:lvlJc w:val="right"/>
      <w:pPr>
        <w:ind w:left="4320" w:hanging="180"/>
      </w:pPr>
    </w:lvl>
    <w:lvl w:ilvl="6" w:tplc="AC4AFEC2">
      <w:start w:val="1"/>
      <w:numFmt w:val="decimal"/>
      <w:lvlText w:val="%7."/>
      <w:lvlJc w:val="left"/>
      <w:pPr>
        <w:ind w:left="5040" w:hanging="360"/>
      </w:pPr>
    </w:lvl>
    <w:lvl w:ilvl="7" w:tplc="DB12BA18">
      <w:start w:val="1"/>
      <w:numFmt w:val="lowerLetter"/>
      <w:lvlText w:val="%8."/>
      <w:lvlJc w:val="left"/>
      <w:pPr>
        <w:ind w:left="5760" w:hanging="360"/>
      </w:pPr>
    </w:lvl>
    <w:lvl w:ilvl="8" w:tplc="D5AE03E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C794C"/>
    <w:multiLevelType w:val="hybridMultilevel"/>
    <w:tmpl w:val="6074D2AC"/>
    <w:lvl w:ilvl="0" w:tplc="B1B04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C279F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66286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62E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2E0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5A6C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947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63C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2C6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38"/>
    <w:rsid w:val="00174038"/>
    <w:rsid w:val="001E0FA2"/>
    <w:rsid w:val="003F7181"/>
    <w:rsid w:val="00886A30"/>
    <w:rsid w:val="0113BD90"/>
    <w:rsid w:val="0311F244"/>
    <w:rsid w:val="041E2168"/>
    <w:rsid w:val="04DE232B"/>
    <w:rsid w:val="06297059"/>
    <w:rsid w:val="0879D675"/>
    <w:rsid w:val="0A2F7F17"/>
    <w:rsid w:val="0A3DD4C5"/>
    <w:rsid w:val="0BB32197"/>
    <w:rsid w:val="0C11C1A8"/>
    <w:rsid w:val="0CAD4CC1"/>
    <w:rsid w:val="0DEFD225"/>
    <w:rsid w:val="0DFA2E1E"/>
    <w:rsid w:val="0F95FE7F"/>
    <w:rsid w:val="11810956"/>
    <w:rsid w:val="136565CB"/>
    <w:rsid w:val="13B974AE"/>
    <w:rsid w:val="1519DD99"/>
    <w:rsid w:val="15CA18C2"/>
    <w:rsid w:val="18DFA60A"/>
    <w:rsid w:val="1B284AE2"/>
    <w:rsid w:val="1B6B75FF"/>
    <w:rsid w:val="1B7E214C"/>
    <w:rsid w:val="1C2FD2F8"/>
    <w:rsid w:val="1E3AF18A"/>
    <w:rsid w:val="1EB5C20E"/>
    <w:rsid w:val="21D5F12B"/>
    <w:rsid w:val="23B477DD"/>
    <w:rsid w:val="23BE5DA1"/>
    <w:rsid w:val="240EAD70"/>
    <w:rsid w:val="24BB0FEB"/>
    <w:rsid w:val="25125845"/>
    <w:rsid w:val="2739C662"/>
    <w:rsid w:val="2849F907"/>
    <w:rsid w:val="28CAC85D"/>
    <w:rsid w:val="292AE724"/>
    <w:rsid w:val="293BD859"/>
    <w:rsid w:val="297E705A"/>
    <w:rsid w:val="2C60AEFE"/>
    <w:rsid w:val="2D160DF7"/>
    <w:rsid w:val="2EA0122E"/>
    <w:rsid w:val="2F5375D6"/>
    <w:rsid w:val="2FF4D33B"/>
    <w:rsid w:val="3080C03A"/>
    <w:rsid w:val="33D6FE15"/>
    <w:rsid w:val="3412F332"/>
    <w:rsid w:val="3663247C"/>
    <w:rsid w:val="37C60D68"/>
    <w:rsid w:val="37FEF555"/>
    <w:rsid w:val="3A69586E"/>
    <w:rsid w:val="3AD687C8"/>
    <w:rsid w:val="3BC25D35"/>
    <w:rsid w:val="3C5A0A6B"/>
    <w:rsid w:val="3D1F8E0B"/>
    <w:rsid w:val="3D623B54"/>
    <w:rsid w:val="3FA9F8EB"/>
    <w:rsid w:val="413DB47B"/>
    <w:rsid w:val="419363E2"/>
    <w:rsid w:val="43A43FEE"/>
    <w:rsid w:val="44D4FA31"/>
    <w:rsid w:val="4526E7F2"/>
    <w:rsid w:val="4784013E"/>
    <w:rsid w:val="4966F1BC"/>
    <w:rsid w:val="4A85B54B"/>
    <w:rsid w:val="4AC41AC1"/>
    <w:rsid w:val="4C2185AC"/>
    <w:rsid w:val="4C8BA321"/>
    <w:rsid w:val="4D84356D"/>
    <w:rsid w:val="4FFA3A4B"/>
    <w:rsid w:val="50092162"/>
    <w:rsid w:val="503A6B0A"/>
    <w:rsid w:val="509AB74B"/>
    <w:rsid w:val="523687AC"/>
    <w:rsid w:val="54B04F71"/>
    <w:rsid w:val="56F9B472"/>
    <w:rsid w:val="5773E692"/>
    <w:rsid w:val="581AF1DD"/>
    <w:rsid w:val="5820EBE0"/>
    <w:rsid w:val="590C51F8"/>
    <w:rsid w:val="59D73FAE"/>
    <w:rsid w:val="5DC11010"/>
    <w:rsid w:val="5E672540"/>
    <w:rsid w:val="5E8A3361"/>
    <w:rsid w:val="5E9D492F"/>
    <w:rsid w:val="6350841D"/>
    <w:rsid w:val="635DA484"/>
    <w:rsid w:val="63B0EDD9"/>
    <w:rsid w:val="641FB683"/>
    <w:rsid w:val="651BFF8F"/>
    <w:rsid w:val="6B0ADF7D"/>
    <w:rsid w:val="6B7B8D37"/>
    <w:rsid w:val="6C5F1704"/>
    <w:rsid w:val="6E885DBE"/>
    <w:rsid w:val="6EF620A7"/>
    <w:rsid w:val="6F0A5E16"/>
    <w:rsid w:val="6F19F3A7"/>
    <w:rsid w:val="7022FF2F"/>
    <w:rsid w:val="7133795F"/>
    <w:rsid w:val="717A2101"/>
    <w:rsid w:val="744E62E4"/>
    <w:rsid w:val="7659DF0C"/>
    <w:rsid w:val="76CC87D6"/>
    <w:rsid w:val="79174939"/>
    <w:rsid w:val="7A04C472"/>
    <w:rsid w:val="7A957E00"/>
    <w:rsid w:val="7B5E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8DE5"/>
  <w15:chartTrackingRefBased/>
  <w15:docId w15:val="{D8955466-B734-43B7-8A1D-868500A8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403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403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403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86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8EAB7B7B754947ADD704AA8055C53C" ma:contentTypeVersion="11" ma:contentTypeDescription="Creare un nuovo documento." ma:contentTypeScope="" ma:versionID="f5aad388e787f42a617e3dcdca46c209">
  <xsd:schema xmlns:xsd="http://www.w3.org/2001/XMLSchema" xmlns:xs="http://www.w3.org/2001/XMLSchema" xmlns:p="http://schemas.microsoft.com/office/2006/metadata/properties" xmlns:ns2="1adb9c03-e850-431a-91e8-bbb90c95664e" xmlns:ns3="954d0ed0-8cd7-4071-909d-5dcfa52006e8" targetNamespace="http://schemas.microsoft.com/office/2006/metadata/properties" ma:root="true" ma:fieldsID="2bb402565ae21c7c2381b6199699ffe0" ns2:_="" ns3:_="">
    <xsd:import namespace="1adb9c03-e850-431a-91e8-bbb90c95664e"/>
    <xsd:import namespace="954d0ed0-8cd7-4071-909d-5dcfa5200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b9c03-e850-431a-91e8-bbb90c9566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d0ed0-8cd7-4071-909d-5dcfa5200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0FE9B8-F29D-4D8F-9600-74E4FC61A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F5BC2-0710-4146-801B-5CB3A4D48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b9c03-e850-431a-91e8-bbb90c95664e"/>
    <ds:schemaRef ds:uri="954d0ed0-8cd7-4071-909d-5dcfa5200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07F2E2-629F-409A-85CE-A6FE5B3570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Vesentini</dc:creator>
  <cp:keywords/>
  <dc:description/>
  <cp:lastModifiedBy>Fabrizio Broccoletti</cp:lastModifiedBy>
  <cp:revision>4</cp:revision>
  <dcterms:created xsi:type="dcterms:W3CDTF">2021-07-08T12:15:00Z</dcterms:created>
  <dcterms:modified xsi:type="dcterms:W3CDTF">2021-07-12T15:37:00Z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0x010100078EAB7B7B754947ADD704AA8055C53C</vt:lpwstr>
  </property>
</Properties>
</file>