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900" w:rsidRDefault="00470D8F">
      <w:pPr>
        <w:spacing w:after="0"/>
        <w:jc w:val="center"/>
      </w:pPr>
      <w:bookmarkStart w:id="0" w:name="_GoBack"/>
      <w:bookmarkEnd w:id="0"/>
      <w:r>
        <w:rPr>
          <w:rFonts w:ascii="Arial" w:hAnsi="Arial"/>
          <w:b/>
          <w:bCs/>
          <w:u w:val="single"/>
        </w:rPr>
        <w:t>IL RAPPORTO IN PILLOLE</w:t>
      </w:r>
    </w:p>
    <w:p w:rsidR="00CE0900" w:rsidRDefault="00CE0900">
      <w:pPr>
        <w:spacing w:after="0"/>
        <w:jc w:val="center"/>
      </w:pPr>
    </w:p>
    <w:p w:rsidR="00CE0900" w:rsidRDefault="00470D8F">
      <w:pPr>
        <w:spacing w:after="0"/>
        <w:jc w:val="both"/>
      </w:pPr>
      <w:r>
        <w:rPr>
          <w:rFonts w:ascii="Arial" w:hAnsi="Arial"/>
        </w:rPr>
        <w:t xml:space="preserve">Il Rapporto </w:t>
      </w:r>
      <w:r>
        <w:rPr>
          <w:rFonts w:ascii="Arial" w:hAnsi="Arial"/>
        </w:rPr>
        <w:t xml:space="preserve">è </w:t>
      </w:r>
      <w:r>
        <w:rPr>
          <w:rFonts w:ascii="Arial" w:hAnsi="Arial"/>
        </w:rPr>
        <w:t xml:space="preserve">ricco di dati e propone una fotografia del sistema nazionale e dei diversi sistemi regionali. La struttura del rapporto </w:t>
      </w:r>
      <w:r>
        <w:rPr>
          <w:rFonts w:ascii="Arial" w:hAnsi="Arial"/>
        </w:rPr>
        <w:t xml:space="preserve">è </w:t>
      </w:r>
      <w:r>
        <w:rPr>
          <w:rFonts w:ascii="Arial" w:hAnsi="Arial"/>
        </w:rPr>
        <w:t xml:space="preserve">divisa in </w:t>
      </w:r>
      <w:r>
        <w:rPr>
          <w:rFonts w:ascii="Arial" w:hAnsi="Arial"/>
          <w:b/>
          <w:bCs/>
        </w:rPr>
        <w:t xml:space="preserve">5 </w:t>
      </w:r>
      <w:proofErr w:type="gramStart"/>
      <w:r>
        <w:rPr>
          <w:rFonts w:ascii="Arial" w:hAnsi="Arial"/>
          <w:b/>
          <w:bCs/>
        </w:rPr>
        <w:t>macro aree</w:t>
      </w:r>
      <w:proofErr w:type="gramEnd"/>
      <w:r>
        <w:rPr>
          <w:rFonts w:ascii="Arial" w:hAnsi="Arial"/>
          <w:b/>
          <w:bCs/>
        </w:rPr>
        <w:t>: A, B, C, D, E</w:t>
      </w:r>
      <w:r>
        <w:rPr>
          <w:rFonts w:ascii="Arial" w:hAnsi="Arial"/>
        </w:rPr>
        <w:t xml:space="preserve">. Nella prima sezione si analizza in particolare quanto disponibile sul fronte delle </w:t>
      </w:r>
      <w:r>
        <w:rPr>
          <w:rFonts w:ascii="Arial" w:hAnsi="Arial"/>
          <w:b/>
          <w:bCs/>
        </w:rPr>
        <w:t>risorse a sostegno delle persone con malattia rara</w:t>
      </w:r>
      <w:r>
        <w:rPr>
          <w:rFonts w:ascii="Arial" w:hAnsi="Arial"/>
        </w:rPr>
        <w:t xml:space="preserve">; nella seconda si presenta la </w:t>
      </w:r>
      <w:r>
        <w:rPr>
          <w:rFonts w:ascii="Arial" w:hAnsi="Arial"/>
          <w:b/>
          <w:bCs/>
        </w:rPr>
        <w:t xml:space="preserve">situazione italiana nel contesto europeo </w:t>
      </w:r>
      <w:r>
        <w:rPr>
          <w:rFonts w:ascii="Arial" w:hAnsi="Arial"/>
        </w:rPr>
        <w:t xml:space="preserve">dove si confermano diversi </w:t>
      </w:r>
      <w:r>
        <w:rPr>
          <w:rFonts w:ascii="Arial" w:hAnsi="Arial"/>
          <w:b/>
          <w:bCs/>
        </w:rPr>
        <w:t>punti di forza del sis</w:t>
      </w:r>
      <w:r>
        <w:rPr>
          <w:rFonts w:ascii="Arial" w:hAnsi="Arial"/>
          <w:b/>
          <w:bCs/>
        </w:rPr>
        <w:t>tema italiano</w:t>
      </w:r>
      <w:r>
        <w:rPr>
          <w:rFonts w:ascii="Arial" w:hAnsi="Arial"/>
        </w:rPr>
        <w:t>, anche se spesso caratterizzati da evidenti disomogeneit</w:t>
      </w:r>
      <w:r>
        <w:rPr>
          <w:rFonts w:ascii="Arial" w:hAnsi="Arial"/>
        </w:rPr>
        <w:t xml:space="preserve">à </w:t>
      </w:r>
      <w:r>
        <w:rPr>
          <w:rFonts w:ascii="Arial" w:hAnsi="Arial"/>
        </w:rPr>
        <w:t>territoriali soprattutto sul versante assistenziale. La terza sezione, quella pi</w:t>
      </w:r>
      <w:r>
        <w:rPr>
          <w:rFonts w:ascii="Arial" w:hAnsi="Arial"/>
        </w:rPr>
        <w:t xml:space="preserve">ù </w:t>
      </w:r>
      <w:r>
        <w:rPr>
          <w:rFonts w:ascii="Arial" w:hAnsi="Arial"/>
        </w:rPr>
        <w:t>corposa,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>offre un focus pi</w:t>
      </w:r>
      <w:r>
        <w:rPr>
          <w:rFonts w:ascii="Arial" w:hAnsi="Arial"/>
        </w:rPr>
        <w:t xml:space="preserve">ù </w:t>
      </w:r>
      <w:r>
        <w:rPr>
          <w:rFonts w:ascii="Arial" w:hAnsi="Arial"/>
        </w:rPr>
        <w:t xml:space="preserve">specifico sul contesto nazionale e regionale con diversi approfondimenti. </w:t>
      </w:r>
      <w:r>
        <w:rPr>
          <w:rFonts w:ascii="Arial" w:hAnsi="Arial"/>
        </w:rPr>
        <w:t>L</w:t>
      </w:r>
      <w:r>
        <w:rPr>
          <w:rFonts w:ascii="Arial" w:hAnsi="Arial"/>
        </w:rPr>
        <w:t>’</w:t>
      </w:r>
      <w:r>
        <w:rPr>
          <w:rFonts w:ascii="Arial" w:hAnsi="Arial"/>
        </w:rPr>
        <w:t xml:space="preserve">ultima sezione </w:t>
      </w:r>
      <w:r>
        <w:rPr>
          <w:rFonts w:ascii="Arial" w:hAnsi="Arial"/>
        </w:rPr>
        <w:t xml:space="preserve">è </w:t>
      </w:r>
      <w:r>
        <w:rPr>
          <w:rFonts w:ascii="Arial" w:hAnsi="Arial"/>
        </w:rPr>
        <w:t>dedicata all</w:t>
      </w:r>
      <w:r>
        <w:rPr>
          <w:rFonts w:ascii="Arial" w:hAnsi="Arial"/>
        </w:rPr>
        <w:t>’</w:t>
      </w:r>
      <w:r>
        <w:rPr>
          <w:rFonts w:ascii="Arial" w:hAnsi="Arial"/>
        </w:rPr>
        <w:t>aggiornamento dei dati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 xml:space="preserve">sullo stato di implementazione delle azioni previste dal Piano Nazionale Malattie Rare 2013-2016. </w:t>
      </w:r>
    </w:p>
    <w:p w:rsidR="00CE0900" w:rsidRDefault="00CE0900">
      <w:pPr>
        <w:spacing w:after="0"/>
        <w:jc w:val="both"/>
      </w:pPr>
    </w:p>
    <w:p w:rsidR="00CE0900" w:rsidRDefault="00CE0900">
      <w:pPr>
        <w:spacing w:after="0"/>
        <w:jc w:val="both"/>
      </w:pPr>
    </w:p>
    <w:p w:rsidR="00CE0900" w:rsidRDefault="00470D8F">
      <w:pPr>
        <w:pStyle w:val="Testonormale"/>
        <w:spacing w:line="276" w:lineRule="auto"/>
        <w:jc w:val="both"/>
      </w:pPr>
      <w:r>
        <w:rPr>
          <w:rFonts w:ascii="Arial" w:hAnsi="Arial"/>
          <w:sz w:val="22"/>
          <w:szCs w:val="22"/>
        </w:rPr>
        <w:t>Qui di seguito alcuni esempi dei punti di forza del sistema delle malattie rare in Italia, confermat</w:t>
      </w:r>
      <w:r>
        <w:rPr>
          <w:rFonts w:ascii="Arial" w:hAnsi="Arial"/>
          <w:sz w:val="22"/>
          <w:szCs w:val="22"/>
        </w:rPr>
        <w:t xml:space="preserve">i anche dalla quinta edizione di </w:t>
      </w:r>
      <w:proofErr w:type="spellStart"/>
      <w:r>
        <w:rPr>
          <w:rFonts w:ascii="Arial" w:hAnsi="Arial"/>
          <w:sz w:val="22"/>
          <w:szCs w:val="22"/>
        </w:rPr>
        <w:t>MonitoRare</w:t>
      </w:r>
      <w:proofErr w:type="spellEnd"/>
      <w:r>
        <w:rPr>
          <w:rFonts w:ascii="Arial" w:hAnsi="Arial"/>
          <w:sz w:val="22"/>
          <w:szCs w:val="22"/>
        </w:rPr>
        <w:t>:</w:t>
      </w:r>
    </w:p>
    <w:p w:rsidR="00CE0900" w:rsidRDefault="00CE0900">
      <w:pPr>
        <w:pStyle w:val="Testonormale"/>
        <w:spacing w:line="276" w:lineRule="auto"/>
        <w:jc w:val="both"/>
      </w:pPr>
    </w:p>
    <w:p w:rsidR="00CE0900" w:rsidRDefault="00470D8F">
      <w:pPr>
        <w:pStyle w:val="Testonormale"/>
        <w:numPr>
          <w:ilvl w:val="0"/>
          <w:numId w:val="2"/>
        </w:numPr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l</w:t>
      </w:r>
      <w:r>
        <w:rPr>
          <w:rFonts w:ascii="Arial" w:hAnsi="Arial"/>
          <w:b/>
          <w:bCs/>
          <w:sz w:val="22"/>
          <w:szCs w:val="22"/>
        </w:rPr>
        <w:t>’</w:t>
      </w:r>
      <w:proofErr w:type="spellStart"/>
      <w:r>
        <w:rPr>
          <w:rFonts w:ascii="Arial" w:hAnsi="Arial"/>
          <w:b/>
          <w:bCs/>
          <w:sz w:val="22"/>
          <w:szCs w:val="22"/>
        </w:rPr>
        <w:t>accessibilit</w:t>
      </w:r>
      <w:proofErr w:type="spellEnd"/>
      <w:r>
        <w:rPr>
          <w:rFonts w:ascii="Arial" w:hAnsi="Arial"/>
          <w:b/>
          <w:bCs/>
          <w:sz w:val="22"/>
          <w:szCs w:val="22"/>
          <w:lang w:val="fr-FR"/>
        </w:rPr>
        <w:t xml:space="preserve">à </w:t>
      </w:r>
      <w:r>
        <w:rPr>
          <w:rFonts w:ascii="Arial" w:hAnsi="Arial"/>
          <w:b/>
          <w:bCs/>
          <w:sz w:val="22"/>
          <w:szCs w:val="22"/>
        </w:rPr>
        <w:t>del farmaco</w:t>
      </w:r>
      <w:r>
        <w:rPr>
          <w:rFonts w:ascii="Arial" w:hAnsi="Arial"/>
          <w:sz w:val="22"/>
          <w:szCs w:val="22"/>
        </w:rPr>
        <w:t xml:space="preserve"> </w:t>
      </w:r>
    </w:p>
    <w:p w:rsidR="00CE0900" w:rsidRDefault="00470D8F">
      <w:pPr>
        <w:pStyle w:val="Testonormale"/>
        <w:numPr>
          <w:ilvl w:val="1"/>
          <w:numId w:val="2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il numero di farmaci orfani complessivamente disponibili in Italia a fine 2017 </w:t>
      </w:r>
      <w:r>
        <w:rPr>
          <w:rFonts w:ascii="Arial" w:hAnsi="Arial"/>
          <w:b/>
          <w:bCs/>
          <w:sz w:val="22"/>
          <w:szCs w:val="22"/>
        </w:rPr>
        <w:t xml:space="preserve">è </w:t>
      </w:r>
      <w:r>
        <w:rPr>
          <w:rFonts w:ascii="Arial" w:hAnsi="Arial"/>
          <w:b/>
          <w:bCs/>
          <w:sz w:val="22"/>
          <w:szCs w:val="22"/>
        </w:rPr>
        <w:t>pari a 94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2"/>
      </w:r>
      <w:r>
        <w:rPr>
          <w:rFonts w:ascii="Arial" w:hAnsi="Arial"/>
          <w:sz w:val="22"/>
          <w:szCs w:val="22"/>
        </w:rPr>
        <w:t>.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  <w:lang w:val="fr-FR"/>
        </w:rPr>
        <w:t xml:space="preserve">Le </w:t>
      </w:r>
      <w:r>
        <w:rPr>
          <w:rFonts w:ascii="Arial" w:hAnsi="Arial"/>
          <w:b/>
          <w:bCs/>
          <w:sz w:val="22"/>
          <w:szCs w:val="22"/>
        </w:rPr>
        <w:t>nuove autorizzazioni</w:t>
      </w:r>
      <w:r>
        <w:rPr>
          <w:rFonts w:ascii="Arial" w:hAnsi="Arial"/>
          <w:sz w:val="22"/>
          <w:szCs w:val="22"/>
        </w:rPr>
        <w:t xml:space="preserve"> da parte di AIFA nel corso del 2017 sono state </w:t>
      </w:r>
      <w:r>
        <w:rPr>
          <w:rFonts w:ascii="Arial" w:hAnsi="Arial"/>
          <w:b/>
          <w:bCs/>
          <w:sz w:val="22"/>
          <w:szCs w:val="22"/>
        </w:rPr>
        <w:t>14</w:t>
      </w:r>
      <w:r>
        <w:rPr>
          <w:rFonts w:ascii="Arial" w:hAnsi="Arial"/>
          <w:sz w:val="22"/>
          <w:szCs w:val="22"/>
        </w:rPr>
        <w:t xml:space="preserve">, in linea con </w:t>
      </w:r>
      <w:r>
        <w:rPr>
          <w:rFonts w:ascii="Arial" w:hAnsi="Arial"/>
          <w:sz w:val="22"/>
          <w:szCs w:val="22"/>
        </w:rPr>
        <w:t>il dato medio del triennio 2014-2016 (pari a 15</w:t>
      </w:r>
      <w:proofErr w:type="gramStart"/>
      <w:r>
        <w:rPr>
          <w:rFonts w:ascii="Arial" w:hAnsi="Arial"/>
          <w:sz w:val="22"/>
          <w:szCs w:val="22"/>
        </w:rPr>
        <w:t>);</w:t>
      </w:r>
      <w:proofErr w:type="gramEnd"/>
    </w:p>
    <w:p w:rsidR="00CE0900" w:rsidRDefault="00CE0900">
      <w:pPr>
        <w:pStyle w:val="Testonormale"/>
        <w:spacing w:line="276" w:lineRule="auto"/>
        <w:ind w:left="1440"/>
        <w:jc w:val="both"/>
      </w:pPr>
    </w:p>
    <w:p w:rsidR="00CE0900" w:rsidRDefault="00470D8F">
      <w:pPr>
        <w:pStyle w:val="Testonormale"/>
        <w:numPr>
          <w:ilvl w:val="1"/>
          <w:numId w:val="2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 </w:t>
      </w:r>
      <w:r>
        <w:rPr>
          <w:rFonts w:ascii="Arial" w:hAnsi="Arial"/>
          <w:b/>
          <w:bCs/>
          <w:sz w:val="22"/>
          <w:szCs w:val="22"/>
        </w:rPr>
        <w:t xml:space="preserve">consumi di farmaci orfani, dal 2013 al 2017, sono aumentati del 69,3% in termini assoluti e del 66,6% in termini relativi </w:t>
      </w:r>
      <w:r>
        <w:rPr>
          <w:rFonts w:ascii="Arial" w:hAnsi="Arial"/>
          <w:sz w:val="22"/>
          <w:szCs w:val="22"/>
        </w:rPr>
        <w:t>sul totale dei consumi di farmaci;</w:t>
      </w:r>
    </w:p>
    <w:p w:rsidR="00CE0900" w:rsidRDefault="00CE0900">
      <w:pPr>
        <w:pStyle w:val="Testonormale"/>
        <w:spacing w:line="276" w:lineRule="auto"/>
        <w:ind w:left="1440"/>
        <w:jc w:val="both"/>
      </w:pPr>
    </w:p>
    <w:p w:rsidR="00CE0900" w:rsidRDefault="00470D8F">
      <w:pPr>
        <w:pStyle w:val="Testonormale"/>
        <w:numPr>
          <w:ilvl w:val="1"/>
          <w:numId w:val="2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la spesa per i farmaci orfani </w:t>
      </w:r>
      <w:r>
        <w:rPr>
          <w:rFonts w:ascii="Arial" w:hAnsi="Arial"/>
          <w:b/>
          <w:bCs/>
          <w:sz w:val="22"/>
          <w:szCs w:val="22"/>
        </w:rPr>
        <w:t xml:space="preserve">è </w:t>
      </w:r>
      <w:r>
        <w:rPr>
          <w:rFonts w:ascii="Arial" w:hAnsi="Arial"/>
          <w:b/>
          <w:bCs/>
          <w:sz w:val="22"/>
          <w:szCs w:val="22"/>
        </w:rPr>
        <w:t>salita dai 91</w:t>
      </w:r>
      <w:r>
        <w:rPr>
          <w:rFonts w:ascii="Arial" w:hAnsi="Arial"/>
          <w:b/>
          <w:bCs/>
          <w:sz w:val="22"/>
          <w:szCs w:val="22"/>
        </w:rPr>
        <w:t xml:space="preserve">7 milioni di </w:t>
      </w:r>
      <w:r>
        <w:rPr>
          <w:rFonts w:ascii="Arial" w:hAnsi="Arial"/>
          <w:b/>
          <w:bCs/>
          <w:sz w:val="22"/>
          <w:szCs w:val="22"/>
          <w:lang w:val="pt-PT"/>
        </w:rPr>
        <w:t xml:space="preserve">€ </w:t>
      </w:r>
      <w:r>
        <w:rPr>
          <w:rFonts w:ascii="Arial" w:hAnsi="Arial"/>
          <w:b/>
          <w:bCs/>
          <w:sz w:val="22"/>
          <w:szCs w:val="22"/>
        </w:rPr>
        <w:t xml:space="preserve">del 2013 ai 1.599 milioni di </w:t>
      </w:r>
      <w:r>
        <w:rPr>
          <w:rFonts w:ascii="Arial" w:hAnsi="Arial"/>
          <w:b/>
          <w:bCs/>
          <w:sz w:val="22"/>
          <w:szCs w:val="22"/>
          <w:lang w:val="pt-PT"/>
        </w:rPr>
        <w:t xml:space="preserve">€ </w:t>
      </w:r>
      <w:r>
        <w:rPr>
          <w:rFonts w:ascii="Arial" w:hAnsi="Arial"/>
          <w:b/>
          <w:bCs/>
          <w:sz w:val="22"/>
          <w:szCs w:val="22"/>
        </w:rPr>
        <w:t xml:space="preserve">del 2016 (+74,4%): </w:t>
      </w:r>
      <w:r>
        <w:rPr>
          <w:rFonts w:ascii="Arial" w:hAnsi="Arial"/>
          <w:sz w:val="22"/>
          <w:szCs w:val="22"/>
        </w:rPr>
        <w:t>nello stesso periodo di tempo</w:t>
      </w:r>
      <w:r>
        <w:rPr>
          <w:rFonts w:ascii="Arial" w:hAnsi="Arial"/>
          <w:b/>
          <w:bCs/>
          <w:sz w:val="22"/>
          <w:szCs w:val="22"/>
        </w:rPr>
        <w:t xml:space="preserve"> l</w:t>
      </w:r>
      <w:r>
        <w:rPr>
          <w:rFonts w:ascii="Arial" w:hAnsi="Arial"/>
          <w:b/>
          <w:bCs/>
          <w:sz w:val="22"/>
          <w:szCs w:val="22"/>
        </w:rPr>
        <w:t>’</w:t>
      </w:r>
      <w:r>
        <w:rPr>
          <w:rFonts w:ascii="Arial" w:hAnsi="Arial"/>
          <w:b/>
          <w:bCs/>
          <w:sz w:val="22"/>
          <w:szCs w:val="22"/>
        </w:rPr>
        <w:t xml:space="preserve">incidenza della spesa per i farmaci orfani sul totale della spesa farmaceutica </w:t>
      </w:r>
      <w:r>
        <w:rPr>
          <w:rFonts w:ascii="Arial" w:hAnsi="Arial"/>
          <w:b/>
          <w:bCs/>
          <w:sz w:val="22"/>
          <w:szCs w:val="22"/>
        </w:rPr>
        <w:t xml:space="preserve">è </w:t>
      </w:r>
      <w:r>
        <w:rPr>
          <w:rFonts w:ascii="Arial" w:hAnsi="Arial"/>
          <w:b/>
          <w:bCs/>
          <w:sz w:val="22"/>
          <w:szCs w:val="22"/>
        </w:rPr>
        <w:t>salita dal 4,7% al 7,2% (+54%)</w:t>
      </w:r>
      <w:r>
        <w:rPr>
          <w:rFonts w:ascii="Arial" w:hAnsi="Arial"/>
          <w:sz w:val="22"/>
          <w:szCs w:val="22"/>
        </w:rPr>
        <w:t>;</w:t>
      </w:r>
    </w:p>
    <w:p w:rsidR="00CE0900" w:rsidRDefault="00CE0900">
      <w:pPr>
        <w:pStyle w:val="Testonormale"/>
        <w:spacing w:line="276" w:lineRule="auto"/>
        <w:ind w:left="1440"/>
        <w:jc w:val="both"/>
      </w:pPr>
    </w:p>
    <w:p w:rsidR="00CE0900" w:rsidRDefault="00470D8F">
      <w:pPr>
        <w:pStyle w:val="Testonormale"/>
        <w:numPr>
          <w:ilvl w:val="1"/>
          <w:numId w:val="2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il numero di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farmaci per le malattie rare com</w:t>
      </w:r>
      <w:r>
        <w:rPr>
          <w:rFonts w:ascii="Arial" w:hAnsi="Arial"/>
          <w:b/>
          <w:bCs/>
          <w:sz w:val="22"/>
          <w:szCs w:val="22"/>
        </w:rPr>
        <w:t>presi nell</w:t>
      </w:r>
      <w:r>
        <w:rPr>
          <w:rFonts w:ascii="Arial" w:hAnsi="Arial"/>
          <w:b/>
          <w:bCs/>
          <w:sz w:val="22"/>
          <w:szCs w:val="22"/>
        </w:rPr>
        <w:t>’</w:t>
      </w:r>
      <w:r>
        <w:rPr>
          <w:rFonts w:ascii="Arial" w:hAnsi="Arial"/>
          <w:b/>
          <w:bCs/>
          <w:sz w:val="22"/>
          <w:szCs w:val="22"/>
        </w:rPr>
        <w:t xml:space="preserve">elenco della Legge n. 648/1996 </w:t>
      </w:r>
      <w:r>
        <w:rPr>
          <w:rFonts w:ascii="Arial" w:hAnsi="Arial"/>
          <w:b/>
          <w:bCs/>
          <w:sz w:val="22"/>
          <w:szCs w:val="22"/>
        </w:rPr>
        <w:t xml:space="preserve">è </w:t>
      </w:r>
      <w:r>
        <w:rPr>
          <w:rFonts w:ascii="Arial" w:hAnsi="Arial"/>
          <w:b/>
          <w:bCs/>
          <w:sz w:val="22"/>
          <w:szCs w:val="22"/>
        </w:rPr>
        <w:t xml:space="preserve">cresciuto dai 13 del 2012 ai 31 del 2018 (con un incremento di 3 </w:t>
      </w:r>
      <w:proofErr w:type="spellStart"/>
      <w:r>
        <w:rPr>
          <w:rFonts w:ascii="Arial" w:hAnsi="Arial"/>
          <w:b/>
          <w:bCs/>
          <w:sz w:val="22"/>
          <w:szCs w:val="22"/>
        </w:rPr>
        <w:t>unit</w:t>
      </w:r>
      <w:proofErr w:type="spellEnd"/>
      <w:r>
        <w:rPr>
          <w:rFonts w:ascii="Arial" w:hAnsi="Arial"/>
          <w:b/>
          <w:bCs/>
          <w:sz w:val="22"/>
          <w:szCs w:val="22"/>
          <w:lang w:val="fr-FR"/>
        </w:rPr>
        <w:t xml:space="preserve">à </w:t>
      </w:r>
      <w:r>
        <w:rPr>
          <w:rFonts w:ascii="Arial" w:hAnsi="Arial"/>
          <w:b/>
          <w:bCs/>
          <w:sz w:val="22"/>
          <w:szCs w:val="22"/>
        </w:rPr>
        <w:t>sul 2017)</w:t>
      </w:r>
      <w:r>
        <w:rPr>
          <w:rFonts w:ascii="Arial" w:hAnsi="Arial"/>
          <w:sz w:val="22"/>
          <w:szCs w:val="22"/>
        </w:rPr>
        <w:t>;</w:t>
      </w:r>
    </w:p>
    <w:p w:rsidR="00CE0900" w:rsidRDefault="00CE0900">
      <w:pPr>
        <w:pStyle w:val="Testonormale"/>
        <w:spacing w:line="276" w:lineRule="auto"/>
        <w:ind w:left="1440"/>
        <w:jc w:val="both"/>
      </w:pPr>
    </w:p>
    <w:p w:rsidR="00CE0900" w:rsidRDefault="00470D8F">
      <w:pPr>
        <w:pStyle w:val="Testonormale"/>
        <w:numPr>
          <w:ilvl w:val="1"/>
          <w:numId w:val="2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le richieste di accesso al fondo AIFA </w:t>
      </w:r>
      <w:r>
        <w:rPr>
          <w:rFonts w:ascii="Arial" w:hAnsi="Arial"/>
          <w:sz w:val="22"/>
          <w:szCs w:val="22"/>
        </w:rPr>
        <w:t xml:space="preserve">(di cui alla Legge 326/2003, Art. 48) </w:t>
      </w:r>
      <w:r>
        <w:rPr>
          <w:rFonts w:ascii="Arial" w:hAnsi="Arial"/>
          <w:b/>
          <w:bCs/>
          <w:sz w:val="22"/>
          <w:szCs w:val="22"/>
        </w:rPr>
        <w:t>raddoppiano rispetto al 2017: da 82 a 164</w:t>
      </w:r>
      <w:r>
        <w:rPr>
          <w:rFonts w:ascii="Arial" w:hAnsi="Arial"/>
          <w:sz w:val="22"/>
          <w:szCs w:val="22"/>
        </w:rPr>
        <w:t xml:space="preserve"> (ricordiamo</w:t>
      </w:r>
      <w:r>
        <w:rPr>
          <w:rFonts w:ascii="Arial" w:hAnsi="Arial"/>
          <w:sz w:val="22"/>
          <w:szCs w:val="22"/>
        </w:rPr>
        <w:t xml:space="preserve"> che erano appena 20 nel 2016), con un tasso di approvazione delle richieste che sale dal 65,1% al 90,1% (il numero di beneficiari sale a 575 includendo anche i tumori rari). Oltre 14 milioni di euro la spesa nel 2017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3"/>
      </w:r>
      <w:r>
        <w:rPr>
          <w:rFonts w:ascii="Arial" w:hAnsi="Arial"/>
          <w:sz w:val="22"/>
          <w:szCs w:val="22"/>
        </w:rPr>
        <w:t xml:space="preserve"> (7,4 mln </w:t>
      </w:r>
      <w:r>
        <w:rPr>
          <w:rFonts w:ascii="Arial" w:hAnsi="Arial"/>
          <w:sz w:val="22"/>
          <w:szCs w:val="22"/>
          <w:lang w:val="pt-PT"/>
        </w:rPr>
        <w:t xml:space="preserve">€ </w:t>
      </w:r>
      <w:r>
        <w:rPr>
          <w:rFonts w:ascii="Arial" w:hAnsi="Arial"/>
          <w:sz w:val="22"/>
          <w:szCs w:val="22"/>
        </w:rPr>
        <w:t xml:space="preserve">nel 2016, 1,1 </w:t>
      </w:r>
      <w:proofErr w:type="spellStart"/>
      <w:r>
        <w:rPr>
          <w:rFonts w:ascii="Arial" w:hAnsi="Arial"/>
          <w:sz w:val="22"/>
          <w:szCs w:val="22"/>
        </w:rPr>
        <w:t>mn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  <w:lang w:val="pt-PT"/>
        </w:rPr>
        <w:t xml:space="preserve">€ </w:t>
      </w:r>
      <w:r>
        <w:rPr>
          <w:rFonts w:ascii="Arial" w:hAnsi="Arial"/>
          <w:sz w:val="22"/>
          <w:szCs w:val="22"/>
        </w:rPr>
        <w:t xml:space="preserve">nel </w:t>
      </w:r>
      <w:r>
        <w:rPr>
          <w:rFonts w:ascii="Arial" w:hAnsi="Arial"/>
          <w:sz w:val="22"/>
          <w:szCs w:val="22"/>
        </w:rPr>
        <w:t>2015);</w:t>
      </w:r>
    </w:p>
    <w:p w:rsidR="00CE0900" w:rsidRDefault="00CE0900">
      <w:pPr>
        <w:pStyle w:val="Testonormale"/>
        <w:spacing w:line="276" w:lineRule="auto"/>
        <w:ind w:left="1440"/>
        <w:jc w:val="both"/>
      </w:pPr>
    </w:p>
    <w:p w:rsidR="00CE0900" w:rsidRDefault="00CE0900">
      <w:pPr>
        <w:pStyle w:val="Testonormale"/>
        <w:spacing w:line="276" w:lineRule="auto"/>
        <w:ind w:left="1440"/>
        <w:jc w:val="both"/>
      </w:pPr>
    </w:p>
    <w:p w:rsidR="00CE0900" w:rsidRDefault="00470D8F">
      <w:pPr>
        <w:pStyle w:val="Testonormale"/>
        <w:numPr>
          <w:ilvl w:val="0"/>
          <w:numId w:val="2"/>
        </w:numPr>
        <w:spacing w:line="276" w:lineRule="auto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l</w:t>
      </w:r>
      <w:r>
        <w:rPr>
          <w:rFonts w:ascii="Arial" w:hAnsi="Arial"/>
          <w:sz w:val="22"/>
          <w:szCs w:val="22"/>
        </w:rPr>
        <w:t>’</w:t>
      </w:r>
      <w:r>
        <w:rPr>
          <w:rFonts w:ascii="Arial" w:hAnsi="Arial"/>
          <w:b/>
          <w:bCs/>
          <w:sz w:val="22"/>
          <w:szCs w:val="22"/>
        </w:rPr>
        <w:t>accesso alle informazioni</w:t>
      </w:r>
    </w:p>
    <w:p w:rsidR="00CE0900" w:rsidRDefault="00470D8F">
      <w:pPr>
        <w:pStyle w:val="Testonormale"/>
        <w:numPr>
          <w:ilvl w:val="1"/>
          <w:numId w:val="2"/>
        </w:num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18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Regioni/Pubbliche Amministrazioni</w:t>
      </w:r>
      <w:r>
        <w:rPr>
          <w:rFonts w:ascii="Arial" w:hAnsi="Arial"/>
          <w:sz w:val="22"/>
          <w:szCs w:val="22"/>
        </w:rPr>
        <w:t xml:space="preserve"> hanno un </w:t>
      </w:r>
      <w:r>
        <w:rPr>
          <w:rFonts w:ascii="Arial" w:hAnsi="Arial"/>
          <w:b/>
          <w:bCs/>
          <w:sz w:val="22"/>
          <w:szCs w:val="22"/>
        </w:rPr>
        <w:t>sistema istituzionale di informazione dedicato alle malattie rare</w:t>
      </w:r>
      <w:r>
        <w:rPr>
          <w:rFonts w:ascii="Arial" w:hAnsi="Arial"/>
          <w:sz w:val="22"/>
          <w:szCs w:val="22"/>
        </w:rPr>
        <w:t>, 14 delle quali sotto forma di help line telefonica strutturata.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Nel corso del 2018 2 help line regionali -</w:t>
      </w:r>
      <w:r>
        <w:rPr>
          <w:rFonts w:ascii="Arial" w:hAnsi="Arial"/>
          <w:sz w:val="22"/>
          <w:szCs w:val="22"/>
        </w:rPr>
        <w:t xml:space="preserve"> il Centro di Ascolto Malattie Rare della Regione Toscana e il Centro di ascolto per le Malattie Rare del Piemonte e della Valle d</w:t>
      </w:r>
      <w:r>
        <w:rPr>
          <w:rFonts w:ascii="Arial" w:hAnsi="Arial"/>
          <w:sz w:val="22"/>
          <w:szCs w:val="22"/>
        </w:rPr>
        <w:t>’</w:t>
      </w:r>
      <w:r>
        <w:rPr>
          <w:rFonts w:ascii="Arial" w:hAnsi="Arial"/>
          <w:sz w:val="22"/>
          <w:szCs w:val="22"/>
          <w:lang w:val="pt-PT"/>
        </w:rPr>
        <w:t xml:space="preserve">Aosta </w:t>
      </w:r>
      <w:r>
        <w:rPr>
          <w:rFonts w:ascii="Arial" w:hAnsi="Arial"/>
          <w:sz w:val="22"/>
          <w:szCs w:val="22"/>
        </w:rPr>
        <w:t xml:space="preserve">– </w:t>
      </w:r>
      <w:r>
        <w:rPr>
          <w:rFonts w:ascii="Arial" w:hAnsi="Arial"/>
          <w:sz w:val="22"/>
          <w:szCs w:val="22"/>
        </w:rPr>
        <w:t>sono entrate nell</w:t>
      </w:r>
      <w:r>
        <w:rPr>
          <w:rFonts w:ascii="Arial" w:hAnsi="Arial"/>
          <w:sz w:val="22"/>
          <w:szCs w:val="22"/>
        </w:rPr>
        <w:t>’</w:t>
      </w:r>
      <w:r>
        <w:rPr>
          <w:rFonts w:ascii="Arial" w:hAnsi="Arial"/>
          <w:i/>
          <w:iCs/>
          <w:sz w:val="22"/>
          <w:szCs w:val="22"/>
          <w:lang w:val="en-US"/>
        </w:rPr>
        <w:t>European Network of Rare Diseases Help Lines</w:t>
      </w:r>
      <w:r>
        <w:rPr>
          <w:rFonts w:ascii="Arial" w:hAnsi="Arial"/>
          <w:sz w:val="22"/>
          <w:szCs w:val="22"/>
        </w:rPr>
        <w:t xml:space="preserve"> di cui fanno parte a livello europeo 24 servizi di hel</w:t>
      </w:r>
      <w:r>
        <w:rPr>
          <w:rFonts w:ascii="Arial" w:hAnsi="Arial"/>
          <w:sz w:val="22"/>
          <w:szCs w:val="22"/>
        </w:rPr>
        <w:t>p-line, andandosi ad aggiungere ai gi</w:t>
      </w:r>
      <w:r>
        <w:rPr>
          <w:rFonts w:ascii="Arial" w:hAnsi="Arial"/>
          <w:sz w:val="22"/>
          <w:szCs w:val="22"/>
        </w:rPr>
        <w:t xml:space="preserve">à </w:t>
      </w:r>
      <w:r>
        <w:rPr>
          <w:rFonts w:ascii="Arial" w:hAnsi="Arial"/>
          <w:sz w:val="22"/>
          <w:szCs w:val="22"/>
        </w:rPr>
        <w:t>presenti Telefono Verde Malattie Rare del CNMR-ISS e Coordinamento delle Malattie Rare della Regione Veneto;</w:t>
      </w:r>
    </w:p>
    <w:p w:rsidR="00CE0900" w:rsidRDefault="00CE0900">
      <w:pPr>
        <w:pStyle w:val="Testonormale"/>
        <w:spacing w:line="276" w:lineRule="auto"/>
        <w:ind w:left="720"/>
        <w:jc w:val="both"/>
      </w:pPr>
    </w:p>
    <w:p w:rsidR="00CE0900" w:rsidRDefault="00470D8F">
      <w:pPr>
        <w:pStyle w:val="Testonormale"/>
        <w:numPr>
          <w:ilvl w:val="0"/>
          <w:numId w:val="2"/>
        </w:num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la formazione</w:t>
      </w:r>
    </w:p>
    <w:p w:rsidR="00CE0900" w:rsidRDefault="00470D8F">
      <w:pPr>
        <w:pStyle w:val="Testonormale"/>
        <w:numPr>
          <w:ilvl w:val="1"/>
          <w:numId w:val="2"/>
        </w:num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17 Regioni/PPAA hanno inserito il tema delle malattie rare nei contenuti della formazione ECM</w:t>
      </w:r>
      <w:r>
        <w:rPr>
          <w:rFonts w:ascii="Arial" w:hAnsi="Arial"/>
          <w:sz w:val="22"/>
          <w:szCs w:val="22"/>
        </w:rPr>
        <w:t xml:space="preserve"> regionale/provinciale;</w:t>
      </w:r>
    </w:p>
    <w:p w:rsidR="00CE0900" w:rsidRDefault="00470D8F">
      <w:pPr>
        <w:pStyle w:val="Testonormale"/>
        <w:numPr>
          <w:ilvl w:val="1"/>
          <w:numId w:val="2"/>
        </w:num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16 Regioni PPAA hanno inserito il tema delle malattie rare nei piani formativi delle Aziende sanitarie della regione/PA;</w:t>
      </w:r>
    </w:p>
    <w:p w:rsidR="00CE0900" w:rsidRDefault="00470D8F">
      <w:pPr>
        <w:pStyle w:val="Testonormale"/>
        <w:numPr>
          <w:ilvl w:val="1"/>
          <w:numId w:val="2"/>
        </w:num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cresce il numero di eventi formativi dedicato alle malattie rare. Il numero di corsi ECM dedicati alle malattie</w:t>
      </w:r>
      <w:r>
        <w:rPr>
          <w:rFonts w:ascii="Arial" w:hAnsi="Arial"/>
          <w:sz w:val="22"/>
          <w:szCs w:val="22"/>
        </w:rPr>
        <w:t xml:space="preserve"> rare passa dai 27 del 2017 ai 67 del 2018 di cui ben 5 in </w:t>
      </w:r>
      <w:proofErr w:type="spellStart"/>
      <w:r>
        <w:rPr>
          <w:rFonts w:ascii="Arial" w:hAnsi="Arial"/>
          <w:sz w:val="22"/>
          <w:szCs w:val="22"/>
        </w:rPr>
        <w:t>modalit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à </w:t>
      </w:r>
      <w:r>
        <w:rPr>
          <w:rFonts w:ascii="Arial" w:hAnsi="Arial"/>
          <w:sz w:val="22"/>
          <w:szCs w:val="22"/>
        </w:rPr>
        <w:t>FAD (formazione a distanza (parole chiave: malattia/e rara/e);</w:t>
      </w:r>
    </w:p>
    <w:p w:rsidR="00CE0900" w:rsidRDefault="00CE0900">
      <w:pPr>
        <w:pStyle w:val="Testonormale"/>
        <w:spacing w:line="276" w:lineRule="auto"/>
        <w:ind w:left="720"/>
      </w:pPr>
    </w:p>
    <w:p w:rsidR="00CE0900" w:rsidRDefault="00470D8F">
      <w:pPr>
        <w:pStyle w:val="Testonormale"/>
        <w:numPr>
          <w:ilvl w:val="0"/>
          <w:numId w:val="2"/>
        </w:numPr>
        <w:spacing w:line="276" w:lineRule="auto"/>
        <w:rPr>
          <w:rFonts w:ascii="Arial" w:hAnsi="Arial"/>
          <w:b/>
          <w:bCs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>screening neo</w:t>
      </w:r>
      <w:r>
        <w:rPr>
          <w:rFonts w:ascii="Arial" w:hAnsi="Arial"/>
          <w:b/>
          <w:bCs/>
          <w:sz w:val="22"/>
          <w:szCs w:val="22"/>
        </w:rPr>
        <w:t>-natale e laboratori clinici</w:t>
      </w:r>
    </w:p>
    <w:p w:rsidR="00CE0900" w:rsidRDefault="00470D8F">
      <w:pPr>
        <w:pStyle w:val="Testonormale"/>
        <w:numPr>
          <w:ilvl w:val="1"/>
          <w:numId w:val="2"/>
        </w:num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nel quinquennio 2013-2017 si osserva una </w:t>
      </w:r>
      <w:r>
        <w:rPr>
          <w:rFonts w:ascii="Arial" w:hAnsi="Arial"/>
          <w:b/>
          <w:bCs/>
          <w:sz w:val="22"/>
          <w:szCs w:val="22"/>
        </w:rPr>
        <w:t xml:space="preserve">crescita decisa della copertura dello </w:t>
      </w:r>
      <w:r>
        <w:rPr>
          <w:rFonts w:ascii="Arial" w:hAnsi="Arial"/>
          <w:b/>
          <w:bCs/>
          <w:sz w:val="22"/>
          <w:szCs w:val="22"/>
        </w:rPr>
        <w:t>screening neo-natale esteso per le malattie metaboliche ereditarie, aumentato di quasi 50 punti percentuali (dal 30,9% del 2013 al 78,3% del 2017)</w:t>
      </w:r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ancorch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il numero di patologie presenti nel pannello di screening nelle diverse Regioni presenti ancora alc</w:t>
      </w:r>
      <w:r>
        <w:rPr>
          <w:rFonts w:ascii="Arial" w:hAnsi="Arial"/>
          <w:sz w:val="22"/>
          <w:szCs w:val="22"/>
        </w:rPr>
        <w:t xml:space="preserve">une differenze per il diverso grado di attivazione sul tema precedentemente </w:t>
      </w:r>
      <w:r>
        <w:rPr>
          <w:rFonts w:ascii="Arial" w:hAnsi="Arial"/>
          <w:sz w:val="22"/>
          <w:szCs w:val="22"/>
        </w:rPr>
        <w:lastRenderedPageBreak/>
        <w:t xml:space="preserve">alla Legge n. 167/2016 </w:t>
      </w:r>
      <w:proofErr w:type="spellStart"/>
      <w:r>
        <w:rPr>
          <w:rFonts w:ascii="Arial" w:hAnsi="Arial"/>
          <w:sz w:val="22"/>
          <w:szCs w:val="22"/>
        </w:rPr>
        <w:t>nonch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 xml:space="preserve">per la diversa </w:t>
      </w:r>
      <w:proofErr w:type="spellStart"/>
      <w:r>
        <w:rPr>
          <w:rFonts w:ascii="Arial" w:hAnsi="Arial"/>
          <w:sz w:val="22"/>
          <w:szCs w:val="22"/>
        </w:rPr>
        <w:t>velocit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à </w:t>
      </w:r>
      <w:r>
        <w:rPr>
          <w:rFonts w:ascii="Arial" w:hAnsi="Arial"/>
          <w:sz w:val="22"/>
          <w:szCs w:val="22"/>
        </w:rPr>
        <w:t xml:space="preserve">di implementazione delle previsioni della nuova normativa; </w:t>
      </w:r>
    </w:p>
    <w:p w:rsidR="00CE0900" w:rsidRDefault="00CE0900">
      <w:pPr>
        <w:pStyle w:val="Testonormale"/>
        <w:spacing w:line="276" w:lineRule="auto"/>
        <w:ind w:left="1440"/>
        <w:jc w:val="both"/>
      </w:pPr>
    </w:p>
    <w:p w:rsidR="00CE0900" w:rsidRDefault="00470D8F">
      <w:pPr>
        <w:pStyle w:val="Testonormale"/>
        <w:numPr>
          <w:ilvl w:val="1"/>
          <w:numId w:val="2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costante crescita nell</w:t>
      </w:r>
      <w:r>
        <w:rPr>
          <w:rFonts w:ascii="Arial" w:hAnsi="Arial"/>
          <w:b/>
          <w:bCs/>
          <w:sz w:val="22"/>
          <w:szCs w:val="22"/>
        </w:rPr>
        <w:t>’</w:t>
      </w:r>
      <w:r>
        <w:rPr>
          <w:rFonts w:ascii="Arial" w:hAnsi="Arial"/>
          <w:b/>
          <w:bCs/>
          <w:sz w:val="22"/>
          <w:szCs w:val="22"/>
        </w:rPr>
        <w:t xml:space="preserve">ultimo quinquennio del numero di malattie </w:t>
      </w:r>
      <w:r>
        <w:rPr>
          <w:rFonts w:ascii="Arial" w:hAnsi="Arial"/>
          <w:b/>
          <w:bCs/>
          <w:sz w:val="22"/>
          <w:szCs w:val="22"/>
        </w:rPr>
        <w:t>rare testate nei laboratori clinici</w:t>
      </w:r>
      <w:r>
        <w:rPr>
          <w:rFonts w:ascii="Arial" w:hAnsi="Arial"/>
          <w:sz w:val="22"/>
          <w:szCs w:val="22"/>
        </w:rPr>
        <w:t xml:space="preserve"> considerati nel database di </w:t>
      </w:r>
      <w:proofErr w:type="spellStart"/>
      <w:r>
        <w:rPr>
          <w:rFonts w:ascii="Arial" w:hAnsi="Arial"/>
          <w:sz w:val="22"/>
          <w:szCs w:val="22"/>
        </w:rPr>
        <w:t>Orphanet</w:t>
      </w:r>
      <w:proofErr w:type="spellEnd"/>
      <w:r>
        <w:rPr>
          <w:rFonts w:ascii="Arial" w:hAnsi="Arial"/>
          <w:sz w:val="22"/>
          <w:szCs w:val="22"/>
        </w:rPr>
        <w:t xml:space="preserve"> che, a fronte della sostanziale </w:t>
      </w:r>
      <w:proofErr w:type="spellStart"/>
      <w:r>
        <w:rPr>
          <w:rFonts w:ascii="Arial" w:hAnsi="Arial"/>
          <w:sz w:val="22"/>
          <w:szCs w:val="22"/>
        </w:rPr>
        <w:t>stabilit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à </w:t>
      </w:r>
      <w:r>
        <w:rPr>
          <w:rFonts w:ascii="Arial" w:hAnsi="Arial"/>
          <w:sz w:val="22"/>
          <w:szCs w:val="22"/>
        </w:rPr>
        <w:t>del numero di laboratori,</w:t>
      </w:r>
      <w:r>
        <w:rPr>
          <w:rFonts w:ascii="Arial" w:hAnsi="Arial"/>
          <w:b/>
          <w:bCs/>
          <w:sz w:val="22"/>
          <w:szCs w:val="22"/>
        </w:rPr>
        <w:t xml:space="preserve"> aumentano di oltre l</w:t>
      </w:r>
      <w:r>
        <w:rPr>
          <w:rFonts w:ascii="Arial" w:hAnsi="Arial"/>
          <w:b/>
          <w:bCs/>
          <w:sz w:val="22"/>
          <w:szCs w:val="22"/>
        </w:rPr>
        <w:t>’</w:t>
      </w:r>
      <w:r>
        <w:rPr>
          <w:rFonts w:ascii="Arial" w:hAnsi="Arial"/>
          <w:b/>
          <w:bCs/>
          <w:sz w:val="22"/>
          <w:szCs w:val="22"/>
        </w:rPr>
        <w:t>80%</w:t>
      </w:r>
      <w:r>
        <w:rPr>
          <w:rFonts w:ascii="Arial" w:hAnsi="Arial"/>
          <w:sz w:val="22"/>
          <w:szCs w:val="22"/>
        </w:rPr>
        <w:t>: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da 1.107 nel 2013 a 1.999 nel 2018;</w:t>
      </w:r>
    </w:p>
    <w:p w:rsidR="00CE0900" w:rsidRDefault="00CE0900">
      <w:pPr>
        <w:pStyle w:val="Testonormale"/>
        <w:spacing w:line="276" w:lineRule="auto"/>
        <w:ind w:left="720"/>
      </w:pPr>
    </w:p>
    <w:p w:rsidR="00CE0900" w:rsidRDefault="00470D8F">
      <w:pPr>
        <w:pStyle w:val="Testonormale"/>
        <w:numPr>
          <w:ilvl w:val="0"/>
          <w:numId w:val="2"/>
        </w:numPr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la </w:t>
      </w:r>
      <w:proofErr w:type="spellStart"/>
      <w:r>
        <w:rPr>
          <w:rFonts w:ascii="Arial" w:hAnsi="Arial"/>
          <w:b/>
          <w:bCs/>
          <w:sz w:val="22"/>
          <w:szCs w:val="22"/>
        </w:rPr>
        <w:t>qualit</w:t>
      </w:r>
      <w:proofErr w:type="spellEnd"/>
      <w:r>
        <w:rPr>
          <w:rFonts w:ascii="Arial" w:hAnsi="Arial"/>
          <w:b/>
          <w:bCs/>
          <w:sz w:val="22"/>
          <w:szCs w:val="22"/>
          <w:lang w:val="fr-FR"/>
        </w:rPr>
        <w:t xml:space="preserve">à </w:t>
      </w:r>
      <w:r>
        <w:rPr>
          <w:rFonts w:ascii="Arial" w:hAnsi="Arial"/>
          <w:b/>
          <w:bCs/>
          <w:sz w:val="22"/>
          <w:szCs w:val="22"/>
        </w:rPr>
        <w:t>e la copertura dei sistemi di sorveglianz</w:t>
      </w:r>
      <w:r>
        <w:rPr>
          <w:rFonts w:ascii="Arial" w:hAnsi="Arial"/>
          <w:b/>
          <w:bCs/>
          <w:sz w:val="22"/>
          <w:szCs w:val="22"/>
        </w:rPr>
        <w:t>a</w:t>
      </w:r>
    </w:p>
    <w:p w:rsidR="00CE0900" w:rsidRDefault="00470D8F">
      <w:pPr>
        <w:pStyle w:val="Testonormale"/>
        <w:numPr>
          <w:ilvl w:val="1"/>
          <w:numId w:val="2"/>
        </w:num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aumenta la copertura dei registri regionali delle malattie rare: </w:t>
      </w:r>
      <w:r>
        <w:rPr>
          <w:rFonts w:ascii="Arial" w:hAnsi="Arial"/>
          <w:sz w:val="22"/>
          <w:szCs w:val="22"/>
        </w:rPr>
        <w:t xml:space="preserve">la </w:t>
      </w:r>
      <w:r>
        <w:rPr>
          <w:rFonts w:ascii="Arial" w:hAnsi="Arial"/>
          <w:b/>
          <w:bCs/>
          <w:sz w:val="22"/>
          <w:szCs w:val="22"/>
        </w:rPr>
        <w:t>prevalenza</w:t>
      </w:r>
      <w:r>
        <w:rPr>
          <w:rFonts w:ascii="Arial" w:hAnsi="Arial"/>
          <w:sz w:val="22"/>
          <w:szCs w:val="22"/>
        </w:rPr>
        <w:t xml:space="preserve"> stimata </w:t>
      </w:r>
      <w:r>
        <w:rPr>
          <w:rFonts w:ascii="Arial" w:hAnsi="Arial"/>
          <w:b/>
          <w:bCs/>
          <w:sz w:val="22"/>
          <w:szCs w:val="22"/>
        </w:rPr>
        <w:t>sulla popolazione</w:t>
      </w:r>
      <w:r>
        <w:rPr>
          <w:rFonts w:ascii="Arial" w:hAnsi="Arial"/>
          <w:sz w:val="22"/>
          <w:szCs w:val="22"/>
        </w:rPr>
        <w:t xml:space="preserve"> delle persone inserite nei RRMR al 31.12.2018 sale a </w:t>
      </w:r>
      <w:r>
        <w:rPr>
          <w:rFonts w:ascii="Arial" w:hAnsi="Arial"/>
          <w:b/>
          <w:bCs/>
          <w:sz w:val="22"/>
          <w:szCs w:val="22"/>
        </w:rPr>
        <w:t>0,60% (0,70% nei minori di 18 anni)</w:t>
      </w:r>
      <w:r>
        <w:rPr>
          <w:rFonts w:ascii="Arial" w:hAnsi="Arial"/>
          <w:sz w:val="22"/>
          <w:szCs w:val="22"/>
        </w:rPr>
        <w:t xml:space="preserve"> dallo 0,30% di </w:t>
      </w:r>
      <w:proofErr w:type="spellStart"/>
      <w:r>
        <w:rPr>
          <w:rFonts w:ascii="Arial" w:hAnsi="Arial"/>
          <w:sz w:val="22"/>
          <w:szCs w:val="22"/>
        </w:rPr>
        <w:t>MonitoRare</w:t>
      </w:r>
      <w:proofErr w:type="spellEnd"/>
      <w:r>
        <w:rPr>
          <w:rFonts w:ascii="Arial" w:hAnsi="Arial"/>
          <w:sz w:val="22"/>
          <w:szCs w:val="22"/>
        </w:rPr>
        <w:t xml:space="preserve"> 2015. </w:t>
      </w:r>
    </w:p>
    <w:p w:rsidR="00CE0900" w:rsidRDefault="00CE0900">
      <w:pPr>
        <w:pStyle w:val="Testonormale"/>
        <w:spacing w:line="276" w:lineRule="auto"/>
        <w:ind w:left="1440"/>
        <w:jc w:val="both"/>
      </w:pPr>
    </w:p>
    <w:p w:rsidR="00CE0900" w:rsidRDefault="00470D8F">
      <w:pPr>
        <w:pStyle w:val="Testonormale"/>
        <w:numPr>
          <w:ilvl w:val="1"/>
          <w:numId w:val="2"/>
        </w:num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per la prima volta </w:t>
      </w:r>
      <w:r>
        <w:rPr>
          <w:rFonts w:ascii="Arial" w:hAnsi="Arial"/>
          <w:b/>
          <w:bCs/>
          <w:sz w:val="22"/>
          <w:szCs w:val="22"/>
        </w:rPr>
        <w:t xml:space="preserve">i dati </w:t>
      </w:r>
      <w:r>
        <w:rPr>
          <w:rFonts w:ascii="Arial" w:hAnsi="Arial"/>
          <w:b/>
          <w:bCs/>
          <w:sz w:val="22"/>
          <w:szCs w:val="22"/>
        </w:rPr>
        <w:t>sono relativi a tutte le malattie rare di cui di cui all</w:t>
      </w:r>
      <w:r>
        <w:rPr>
          <w:rFonts w:ascii="Arial" w:hAnsi="Arial"/>
          <w:b/>
          <w:bCs/>
          <w:sz w:val="22"/>
          <w:szCs w:val="22"/>
        </w:rPr>
        <w:t>’</w:t>
      </w:r>
      <w:r>
        <w:rPr>
          <w:rFonts w:ascii="Arial" w:hAnsi="Arial"/>
          <w:b/>
          <w:bCs/>
          <w:sz w:val="22"/>
          <w:szCs w:val="22"/>
        </w:rPr>
        <w:t>Allegato 7 del DPCM 12.01.2017</w:t>
      </w:r>
      <w:r>
        <w:rPr>
          <w:rFonts w:ascii="Arial" w:hAnsi="Arial"/>
          <w:sz w:val="22"/>
          <w:szCs w:val="22"/>
        </w:rPr>
        <w:t xml:space="preserve">: sulla base delle quasi 310.000 </w:t>
      </w:r>
      <w:proofErr w:type="spellStart"/>
      <w:r>
        <w:rPr>
          <w:rFonts w:ascii="Arial" w:hAnsi="Arial"/>
          <w:sz w:val="22"/>
          <w:szCs w:val="22"/>
        </w:rPr>
        <w:t>PcMR</w:t>
      </w:r>
      <w:proofErr w:type="spellEnd"/>
      <w:r>
        <w:rPr>
          <w:rFonts w:ascii="Arial" w:hAnsi="Arial"/>
          <w:sz w:val="22"/>
          <w:szCs w:val="22"/>
        </w:rPr>
        <w:t xml:space="preserve"> registrate nei RRMR il gruppo pi</w:t>
      </w:r>
      <w:r>
        <w:rPr>
          <w:rFonts w:ascii="Arial" w:hAnsi="Arial"/>
          <w:sz w:val="22"/>
          <w:szCs w:val="22"/>
        </w:rPr>
        <w:t xml:space="preserve">ù </w:t>
      </w:r>
      <w:r>
        <w:rPr>
          <w:rFonts w:ascii="Arial" w:hAnsi="Arial"/>
          <w:sz w:val="22"/>
          <w:szCs w:val="22"/>
        </w:rPr>
        <w:t xml:space="preserve">presente </w:t>
      </w:r>
      <w:r>
        <w:rPr>
          <w:rFonts w:ascii="Arial" w:hAnsi="Arial"/>
          <w:sz w:val="22"/>
          <w:szCs w:val="22"/>
        </w:rPr>
        <w:t xml:space="preserve">è </w:t>
      </w:r>
      <w:r>
        <w:rPr>
          <w:rFonts w:ascii="Arial" w:hAnsi="Arial"/>
          <w:sz w:val="22"/>
          <w:szCs w:val="22"/>
        </w:rPr>
        <w:t xml:space="preserve">quello delle </w:t>
      </w:r>
      <w:r>
        <w:rPr>
          <w:rFonts w:ascii="Arial" w:hAnsi="Arial"/>
          <w:b/>
          <w:bCs/>
          <w:sz w:val="22"/>
          <w:szCs w:val="22"/>
        </w:rPr>
        <w:t>malattie del sistema nervoso centrale e periferico (18%), a seguire il gr</w:t>
      </w:r>
      <w:r>
        <w:rPr>
          <w:rFonts w:ascii="Arial" w:hAnsi="Arial"/>
          <w:b/>
          <w:bCs/>
          <w:sz w:val="22"/>
          <w:szCs w:val="22"/>
        </w:rPr>
        <w:t xml:space="preserve">uppo delle malformazioni congenite, </w:t>
      </w:r>
      <w:proofErr w:type="spellStart"/>
      <w:r>
        <w:rPr>
          <w:rFonts w:ascii="Arial" w:hAnsi="Arial"/>
          <w:b/>
          <w:bCs/>
          <w:sz w:val="22"/>
          <w:szCs w:val="22"/>
        </w:rPr>
        <w:t>cromosomopatie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e sindromi generiche e delle malattie del sangue e degli organi ematopoietici (13%); quindi le malattie dell</w:t>
      </w:r>
      <w:r>
        <w:rPr>
          <w:rFonts w:ascii="Arial" w:hAnsi="Arial"/>
          <w:b/>
          <w:bCs/>
          <w:sz w:val="22"/>
          <w:szCs w:val="22"/>
        </w:rPr>
        <w:t>’</w:t>
      </w:r>
      <w:r>
        <w:rPr>
          <w:rFonts w:ascii="Arial" w:hAnsi="Arial"/>
          <w:b/>
          <w:bCs/>
          <w:sz w:val="22"/>
          <w:szCs w:val="22"/>
        </w:rPr>
        <w:t>apparato visivo (10%), del metabolismo (8%), del sistema osteo-muscolare e del tessuto connettiv</w:t>
      </w:r>
      <w:r>
        <w:rPr>
          <w:rFonts w:ascii="Arial" w:hAnsi="Arial"/>
          <w:b/>
          <w:bCs/>
          <w:sz w:val="22"/>
          <w:szCs w:val="22"/>
        </w:rPr>
        <w:t>o (7%)  e del sistema circolatorio (7%). Gli altri gruppi di patologie non superano la soglia del 5%</w:t>
      </w:r>
      <w:r>
        <w:rPr>
          <w:rFonts w:ascii="Arial" w:hAnsi="Arial"/>
          <w:sz w:val="22"/>
          <w:szCs w:val="22"/>
        </w:rPr>
        <w:t>;</w:t>
      </w:r>
    </w:p>
    <w:p w:rsidR="00CE0900" w:rsidRDefault="00CE0900">
      <w:pPr>
        <w:pStyle w:val="Testonormale"/>
        <w:spacing w:line="276" w:lineRule="auto"/>
        <w:ind w:left="1440"/>
        <w:jc w:val="both"/>
      </w:pPr>
    </w:p>
    <w:p w:rsidR="00CE0900" w:rsidRDefault="00470D8F">
      <w:pPr>
        <w:pStyle w:val="Testonormale"/>
        <w:numPr>
          <w:ilvl w:val="1"/>
          <w:numId w:val="2"/>
        </w:num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al momento si conferma il dato della precedente edizione di </w:t>
      </w:r>
      <w:proofErr w:type="spellStart"/>
      <w:r>
        <w:rPr>
          <w:rFonts w:ascii="Arial" w:hAnsi="Arial"/>
          <w:sz w:val="22"/>
          <w:szCs w:val="22"/>
        </w:rPr>
        <w:t>MonitoRare</w:t>
      </w:r>
      <w:proofErr w:type="spellEnd"/>
      <w:r>
        <w:rPr>
          <w:rFonts w:ascii="Arial" w:hAnsi="Arial"/>
          <w:sz w:val="22"/>
          <w:szCs w:val="22"/>
        </w:rPr>
        <w:t xml:space="preserve"> secondo cui, sulla base dei dati dei RRMR il </w:t>
      </w:r>
      <w:r>
        <w:rPr>
          <w:rFonts w:ascii="Arial" w:hAnsi="Arial"/>
          <w:b/>
          <w:bCs/>
          <w:sz w:val="22"/>
          <w:szCs w:val="22"/>
        </w:rPr>
        <w:t>numero di</w:t>
      </w:r>
      <w:r>
        <w:rPr>
          <w:rFonts w:ascii="Arial" w:hAnsi="Arial"/>
          <w:sz w:val="22"/>
          <w:szCs w:val="22"/>
        </w:rPr>
        <w:t xml:space="preserve"> complessivo di </w:t>
      </w:r>
      <w:r>
        <w:rPr>
          <w:rFonts w:ascii="Arial" w:hAnsi="Arial"/>
          <w:b/>
          <w:bCs/>
          <w:sz w:val="22"/>
          <w:szCs w:val="22"/>
        </w:rPr>
        <w:t xml:space="preserve">persone con </w:t>
      </w:r>
      <w:r>
        <w:rPr>
          <w:rFonts w:ascii="Arial" w:hAnsi="Arial"/>
          <w:b/>
          <w:bCs/>
          <w:sz w:val="22"/>
          <w:szCs w:val="22"/>
        </w:rPr>
        <w:t>malattia rara</w:t>
      </w:r>
      <w:r>
        <w:rPr>
          <w:rFonts w:ascii="Arial" w:hAnsi="Arial"/>
          <w:sz w:val="22"/>
          <w:szCs w:val="22"/>
        </w:rPr>
        <w:t xml:space="preserve"> nel nostro paese potrebbe arrivare a superare le </w:t>
      </w:r>
      <w:r>
        <w:rPr>
          <w:rFonts w:ascii="Arial" w:hAnsi="Arial"/>
          <w:b/>
          <w:bCs/>
          <w:sz w:val="22"/>
          <w:szCs w:val="22"/>
        </w:rPr>
        <w:t>770.000</w:t>
      </w:r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unit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à </w:t>
      </w:r>
      <w:r>
        <w:rPr>
          <w:rFonts w:ascii="Arial" w:hAnsi="Arial"/>
          <w:sz w:val="22"/>
          <w:szCs w:val="22"/>
        </w:rPr>
        <w:t>con una prevalenza massima stimata dell</w:t>
      </w:r>
      <w:r>
        <w:rPr>
          <w:rFonts w:ascii="Arial" w:hAnsi="Arial"/>
          <w:sz w:val="22"/>
          <w:szCs w:val="22"/>
        </w:rPr>
        <w:t>’</w:t>
      </w:r>
      <w:r>
        <w:rPr>
          <w:rFonts w:ascii="Arial" w:hAnsi="Arial"/>
          <w:sz w:val="22"/>
          <w:szCs w:val="22"/>
        </w:rPr>
        <w:t>1,27% sulla popolazione;</w:t>
      </w:r>
    </w:p>
    <w:p w:rsidR="00CE0900" w:rsidRDefault="00CE0900">
      <w:pPr>
        <w:pStyle w:val="Testonormale"/>
        <w:spacing w:line="276" w:lineRule="auto"/>
        <w:ind w:left="1440"/>
        <w:jc w:val="both"/>
      </w:pPr>
    </w:p>
    <w:p w:rsidR="00CE0900" w:rsidRDefault="00470D8F">
      <w:pPr>
        <w:pStyle w:val="Testonormale"/>
        <w:numPr>
          <w:ilvl w:val="1"/>
          <w:numId w:val="2"/>
        </w:num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1 persona con malattia su 5 ha meno di 18 anni,</w:t>
      </w:r>
      <w:r>
        <w:rPr>
          <w:rFonts w:ascii="Arial" w:hAnsi="Arial"/>
          <w:sz w:val="22"/>
          <w:szCs w:val="22"/>
        </w:rPr>
        <w:t xml:space="preserve"> come </w:t>
      </w:r>
      <w:proofErr w:type="spellStart"/>
      <w:r>
        <w:rPr>
          <w:rFonts w:ascii="Arial" w:hAnsi="Arial"/>
          <w:sz w:val="22"/>
          <w:szCs w:val="22"/>
        </w:rPr>
        <w:t>gi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à </w:t>
      </w:r>
      <w:r>
        <w:rPr>
          <w:rFonts w:ascii="Arial" w:hAnsi="Arial"/>
          <w:sz w:val="22"/>
          <w:szCs w:val="22"/>
        </w:rPr>
        <w:t>evidenziato nella precedente edizione del Rapporto;</w:t>
      </w:r>
    </w:p>
    <w:p w:rsidR="00CE0900" w:rsidRDefault="00CE0900">
      <w:pPr>
        <w:pStyle w:val="Paragrafoelenco"/>
      </w:pPr>
    </w:p>
    <w:p w:rsidR="00CE0900" w:rsidRDefault="00470D8F">
      <w:pPr>
        <w:pStyle w:val="Testonormale"/>
        <w:numPr>
          <w:ilvl w:val="0"/>
          <w:numId w:val="2"/>
        </w:numPr>
        <w:spacing w:line="276" w:lineRule="auto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la </w:t>
      </w:r>
      <w:r>
        <w:rPr>
          <w:rFonts w:ascii="Arial" w:hAnsi="Arial"/>
          <w:b/>
          <w:bCs/>
          <w:sz w:val="22"/>
          <w:szCs w:val="22"/>
        </w:rPr>
        <w:t xml:space="preserve">ricerca </w:t>
      </w:r>
    </w:p>
    <w:p w:rsidR="00CE0900" w:rsidRDefault="00470D8F">
      <w:pPr>
        <w:pStyle w:val="Testonormale"/>
        <w:numPr>
          <w:ilvl w:val="1"/>
          <w:numId w:val="2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aumenta ancora il peso degli studi clinici autorizzati sulle malattie rare sul totale delle sperimentazioni cliniche</w:t>
      </w:r>
      <w:r>
        <w:rPr>
          <w:rFonts w:ascii="Arial" w:hAnsi="Arial"/>
          <w:sz w:val="22"/>
          <w:szCs w:val="22"/>
        </w:rPr>
        <w:t>: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dal </w:t>
      </w:r>
      <w:r>
        <w:rPr>
          <w:rFonts w:ascii="Arial" w:hAnsi="Arial"/>
          <w:b/>
          <w:bCs/>
          <w:sz w:val="22"/>
          <w:szCs w:val="22"/>
          <w:lang w:val="en-US"/>
        </w:rPr>
        <w:t xml:space="preserve">20,0% </w:t>
      </w:r>
      <w:r>
        <w:rPr>
          <w:rFonts w:ascii="Arial" w:hAnsi="Arial"/>
          <w:sz w:val="22"/>
          <w:szCs w:val="22"/>
        </w:rPr>
        <w:t xml:space="preserve">del </w:t>
      </w:r>
      <w:r>
        <w:rPr>
          <w:rFonts w:ascii="Arial" w:hAnsi="Arial"/>
          <w:b/>
          <w:bCs/>
          <w:sz w:val="22"/>
          <w:szCs w:val="22"/>
        </w:rPr>
        <w:t>2013</w:t>
      </w:r>
      <w:r>
        <w:rPr>
          <w:rFonts w:ascii="Arial" w:hAnsi="Arial"/>
          <w:sz w:val="22"/>
          <w:szCs w:val="22"/>
        </w:rPr>
        <w:t xml:space="preserve"> al </w:t>
      </w:r>
      <w:r>
        <w:rPr>
          <w:rFonts w:ascii="Arial" w:hAnsi="Arial"/>
          <w:b/>
          <w:bCs/>
          <w:sz w:val="22"/>
          <w:szCs w:val="22"/>
          <w:lang w:val="pt-PT"/>
        </w:rPr>
        <w:t>31,5%</w:t>
      </w:r>
      <w:r>
        <w:rPr>
          <w:rFonts w:ascii="Arial" w:hAnsi="Arial"/>
          <w:sz w:val="22"/>
          <w:szCs w:val="22"/>
        </w:rPr>
        <w:t xml:space="preserve"> del </w:t>
      </w:r>
      <w:r>
        <w:rPr>
          <w:rFonts w:ascii="Arial" w:hAnsi="Arial"/>
          <w:b/>
          <w:bCs/>
          <w:sz w:val="22"/>
          <w:szCs w:val="22"/>
        </w:rPr>
        <w:t xml:space="preserve">2018 </w:t>
      </w:r>
      <w:r>
        <w:rPr>
          <w:rFonts w:ascii="Arial" w:hAnsi="Arial"/>
          <w:sz w:val="22"/>
          <w:szCs w:val="22"/>
        </w:rPr>
        <w:t>(+ 6 punti percentuali sul 2017), dato reso ancora pi</w:t>
      </w:r>
      <w:r>
        <w:rPr>
          <w:rFonts w:ascii="Arial" w:hAnsi="Arial"/>
          <w:sz w:val="22"/>
          <w:szCs w:val="22"/>
        </w:rPr>
        <w:t xml:space="preserve">ù </w:t>
      </w:r>
      <w:r>
        <w:rPr>
          <w:rFonts w:ascii="Arial" w:hAnsi="Arial"/>
          <w:sz w:val="22"/>
          <w:szCs w:val="22"/>
        </w:rPr>
        <w:t>significativo dal fatto che nell</w:t>
      </w:r>
      <w:r>
        <w:rPr>
          <w:rFonts w:ascii="Arial" w:hAnsi="Arial"/>
          <w:sz w:val="22"/>
          <w:szCs w:val="22"/>
        </w:rPr>
        <w:t>’</w:t>
      </w:r>
      <w:r>
        <w:rPr>
          <w:rFonts w:ascii="Arial" w:hAnsi="Arial"/>
          <w:sz w:val="22"/>
          <w:szCs w:val="22"/>
        </w:rPr>
        <w:t>ultimo anno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lastRenderedPageBreak/>
        <w:t xml:space="preserve">si </w:t>
      </w:r>
      <w:r>
        <w:rPr>
          <w:rFonts w:ascii="Arial" w:hAnsi="Arial"/>
          <w:sz w:val="22"/>
          <w:szCs w:val="22"/>
        </w:rPr>
        <w:t xml:space="preserve">è </w:t>
      </w:r>
      <w:r>
        <w:rPr>
          <w:rFonts w:ascii="Arial" w:hAnsi="Arial"/>
          <w:sz w:val="22"/>
          <w:szCs w:val="22"/>
        </w:rPr>
        <w:t>osservato un deciso incremento degli studi (210 nel 2018 a fronte dei 144 del 2017) in linea con il trend generale;</w:t>
      </w:r>
    </w:p>
    <w:p w:rsidR="00CE0900" w:rsidRDefault="00CE0900">
      <w:pPr>
        <w:pStyle w:val="Testonormale"/>
        <w:spacing w:line="276" w:lineRule="auto"/>
        <w:ind w:left="1440"/>
        <w:jc w:val="both"/>
      </w:pPr>
    </w:p>
    <w:p w:rsidR="00CE0900" w:rsidRDefault="00470D8F">
      <w:pPr>
        <w:pStyle w:val="Testonormale"/>
        <w:numPr>
          <w:ilvl w:val="1"/>
          <w:numId w:val="2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praticamente una sperimentazione clinica su 2 (48,9%) </w:t>
      </w:r>
      <w:r>
        <w:rPr>
          <w:rFonts w:ascii="Arial" w:hAnsi="Arial"/>
          <w:b/>
          <w:bCs/>
          <w:sz w:val="22"/>
          <w:szCs w:val="22"/>
        </w:rPr>
        <w:t xml:space="preserve">è </w:t>
      </w:r>
      <w:r>
        <w:rPr>
          <w:rFonts w:ascii="Arial" w:hAnsi="Arial"/>
          <w:b/>
          <w:bCs/>
          <w:sz w:val="22"/>
          <w:szCs w:val="22"/>
        </w:rPr>
        <w:t>relativa a studi di Fase I o II</w:t>
      </w:r>
      <w:r>
        <w:rPr>
          <w:rFonts w:ascii="Arial" w:hAnsi="Arial"/>
          <w:sz w:val="22"/>
          <w:szCs w:val="22"/>
        </w:rPr>
        <w:t xml:space="preserve"> (47,5% nel 2017);</w:t>
      </w:r>
    </w:p>
    <w:p w:rsidR="00CE0900" w:rsidRDefault="00CE0900">
      <w:pPr>
        <w:pStyle w:val="Testonormale"/>
        <w:spacing w:line="276" w:lineRule="auto"/>
        <w:ind w:left="1440"/>
        <w:jc w:val="both"/>
      </w:pPr>
    </w:p>
    <w:p w:rsidR="00CE0900" w:rsidRDefault="00470D8F">
      <w:pPr>
        <w:pStyle w:val="Testonormale"/>
        <w:numPr>
          <w:ilvl w:val="1"/>
          <w:numId w:val="2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cala leggermente il peso dei </w:t>
      </w:r>
      <w:r>
        <w:rPr>
          <w:rFonts w:ascii="Arial" w:hAnsi="Arial"/>
          <w:b/>
          <w:bCs/>
          <w:sz w:val="22"/>
          <w:szCs w:val="22"/>
        </w:rPr>
        <w:t>principi attivi di natura biologica/bio-tecnologica</w:t>
      </w:r>
      <w:r>
        <w:rPr>
          <w:rFonts w:ascii="Arial" w:hAnsi="Arial"/>
          <w:sz w:val="22"/>
          <w:szCs w:val="22"/>
        </w:rPr>
        <w:t xml:space="preserve"> che </w:t>
      </w:r>
      <w:r>
        <w:rPr>
          <w:rFonts w:ascii="Arial" w:hAnsi="Arial"/>
          <w:b/>
          <w:bCs/>
          <w:sz w:val="22"/>
          <w:szCs w:val="22"/>
        </w:rPr>
        <w:t xml:space="preserve">rappresentano il 29,0% del totale delle sperimentazioni cliniche sulle malattie rare </w:t>
      </w:r>
      <w:r>
        <w:rPr>
          <w:rFonts w:ascii="Arial" w:hAnsi="Arial"/>
          <w:sz w:val="22"/>
          <w:szCs w:val="22"/>
        </w:rPr>
        <w:t xml:space="preserve">(rispetto al 37,5% del 2017), mentre i principi attivi di natura chimica si assestano </w:t>
      </w:r>
      <w:r>
        <w:rPr>
          <w:rFonts w:ascii="Arial" w:hAnsi="Arial"/>
          <w:sz w:val="22"/>
          <w:szCs w:val="22"/>
        </w:rPr>
        <w:t>al 58,5% rispetto al 51,4% del 2017;</w:t>
      </w:r>
    </w:p>
    <w:p w:rsidR="00CE0900" w:rsidRDefault="00CE0900">
      <w:pPr>
        <w:pStyle w:val="Testonormale"/>
        <w:spacing w:line="276" w:lineRule="auto"/>
        <w:ind w:left="1440"/>
        <w:jc w:val="both"/>
      </w:pPr>
    </w:p>
    <w:p w:rsidR="00CE0900" w:rsidRDefault="00470D8F">
      <w:pPr>
        <w:pStyle w:val="Testonormale"/>
        <w:numPr>
          <w:ilvl w:val="1"/>
          <w:numId w:val="2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cala, pur rimanendo elevata, la presenza dei </w:t>
      </w:r>
      <w:r>
        <w:rPr>
          <w:rFonts w:ascii="Arial" w:hAnsi="Arial"/>
          <w:b/>
          <w:bCs/>
          <w:sz w:val="22"/>
          <w:szCs w:val="22"/>
        </w:rPr>
        <w:t xml:space="preserve">gruppi di ricerca italiani nei progetti relativi alle malattie rare inseriti nella piattaforma </w:t>
      </w:r>
      <w:proofErr w:type="spellStart"/>
      <w:r>
        <w:rPr>
          <w:rFonts w:ascii="Arial" w:hAnsi="Arial"/>
          <w:b/>
          <w:bCs/>
          <w:sz w:val="22"/>
          <w:szCs w:val="22"/>
        </w:rPr>
        <w:t>Orphanet</w:t>
      </w:r>
      <w:proofErr w:type="spellEnd"/>
      <w:r>
        <w:rPr>
          <w:rFonts w:ascii="Arial" w:hAnsi="Arial"/>
          <w:sz w:val="22"/>
          <w:szCs w:val="22"/>
        </w:rPr>
        <w:t>:</w:t>
      </w:r>
      <w:r>
        <w:rPr>
          <w:rFonts w:ascii="Arial" w:hAnsi="Arial"/>
          <w:b/>
          <w:bCs/>
          <w:sz w:val="22"/>
          <w:szCs w:val="22"/>
        </w:rPr>
        <w:t xml:space="preserve"> 15,8% nel 2018 </w:t>
      </w:r>
      <w:r>
        <w:rPr>
          <w:rFonts w:ascii="Arial" w:hAnsi="Arial"/>
          <w:sz w:val="22"/>
          <w:szCs w:val="22"/>
        </w:rPr>
        <w:t>(a fronte del 19,9 del 2017);</w:t>
      </w:r>
    </w:p>
    <w:p w:rsidR="00CE0900" w:rsidRDefault="00CE0900">
      <w:pPr>
        <w:pStyle w:val="Testonormale"/>
        <w:spacing w:line="276" w:lineRule="auto"/>
        <w:ind w:left="1440"/>
        <w:jc w:val="both"/>
      </w:pPr>
    </w:p>
    <w:p w:rsidR="00CE0900" w:rsidRDefault="00470D8F">
      <w:pPr>
        <w:pStyle w:val="Testonormale"/>
        <w:numPr>
          <w:ilvl w:val="1"/>
          <w:numId w:val="2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321 i progetti di rice</w:t>
      </w:r>
      <w:r>
        <w:rPr>
          <w:rFonts w:ascii="Arial" w:hAnsi="Arial"/>
          <w:b/>
          <w:bCs/>
          <w:sz w:val="22"/>
          <w:szCs w:val="22"/>
        </w:rPr>
        <w:t xml:space="preserve">rca corrente sulle malattie rare condotti dagli IRCSS nel 2018 (10,6% </w:t>
      </w:r>
      <w:r>
        <w:rPr>
          <w:rFonts w:ascii="Arial" w:hAnsi="Arial"/>
          <w:sz w:val="22"/>
          <w:szCs w:val="22"/>
        </w:rPr>
        <w:t>del totale, in crescita rispetto all</w:t>
      </w:r>
      <w:r>
        <w:rPr>
          <w:rFonts w:ascii="Arial" w:hAnsi="Arial"/>
          <w:sz w:val="22"/>
          <w:szCs w:val="22"/>
        </w:rPr>
        <w:t>’</w:t>
      </w:r>
      <w:r>
        <w:rPr>
          <w:rFonts w:ascii="Arial" w:hAnsi="Arial"/>
          <w:sz w:val="22"/>
          <w:szCs w:val="22"/>
        </w:rPr>
        <w:t>anno precedente)</w:t>
      </w:r>
      <w:r>
        <w:rPr>
          <w:rFonts w:ascii="Arial" w:hAnsi="Arial"/>
          <w:b/>
          <w:bCs/>
          <w:sz w:val="22"/>
          <w:szCs w:val="22"/>
        </w:rPr>
        <w:t xml:space="preserve"> per un valore di quasi 10,2 milioni di euro </w:t>
      </w:r>
      <w:r>
        <w:rPr>
          <w:rFonts w:ascii="Arial" w:hAnsi="Arial"/>
          <w:sz w:val="22"/>
          <w:szCs w:val="22"/>
        </w:rPr>
        <w:t>(10,0% del totale, in crescita rispetto all</w:t>
      </w:r>
      <w:r>
        <w:rPr>
          <w:rFonts w:ascii="Arial" w:hAnsi="Arial"/>
          <w:sz w:val="22"/>
          <w:szCs w:val="22"/>
        </w:rPr>
        <w:t>’</w:t>
      </w:r>
      <w:r>
        <w:rPr>
          <w:rFonts w:ascii="Arial" w:hAnsi="Arial"/>
          <w:sz w:val="22"/>
          <w:szCs w:val="22"/>
        </w:rPr>
        <w:t xml:space="preserve">anno precedente); </w:t>
      </w:r>
    </w:p>
    <w:p w:rsidR="00CE0900" w:rsidRDefault="00CE0900">
      <w:pPr>
        <w:pStyle w:val="Testonormale"/>
        <w:spacing w:line="276" w:lineRule="auto"/>
        <w:ind w:left="1440"/>
        <w:jc w:val="both"/>
      </w:pPr>
    </w:p>
    <w:p w:rsidR="00CE0900" w:rsidRDefault="00470D8F">
      <w:pPr>
        <w:pStyle w:val="Testonormale"/>
        <w:numPr>
          <w:ilvl w:val="1"/>
          <w:numId w:val="2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4,7 milioni di euro</w:t>
      </w:r>
      <w:r>
        <w:rPr>
          <w:rFonts w:ascii="Arial" w:hAnsi="Arial"/>
          <w:sz w:val="22"/>
          <w:szCs w:val="22"/>
        </w:rPr>
        <w:t xml:space="preserve"> (</w:t>
      </w:r>
      <w:r>
        <w:rPr>
          <w:rFonts w:ascii="Arial" w:hAnsi="Arial"/>
          <w:b/>
          <w:bCs/>
          <w:sz w:val="22"/>
          <w:szCs w:val="22"/>
        </w:rPr>
        <w:t>13,</w:t>
      </w:r>
      <w:r>
        <w:rPr>
          <w:rFonts w:ascii="Arial" w:hAnsi="Arial"/>
          <w:b/>
          <w:bCs/>
          <w:sz w:val="22"/>
          <w:szCs w:val="22"/>
        </w:rPr>
        <w:t>4%</w:t>
      </w:r>
      <w:r>
        <w:rPr>
          <w:rFonts w:ascii="Arial" w:hAnsi="Arial"/>
          <w:sz w:val="22"/>
          <w:szCs w:val="22"/>
        </w:rPr>
        <w:t xml:space="preserve"> del totale) le risorse della </w:t>
      </w:r>
      <w:r>
        <w:rPr>
          <w:rFonts w:ascii="Arial" w:hAnsi="Arial"/>
          <w:b/>
          <w:bCs/>
          <w:sz w:val="22"/>
          <w:szCs w:val="22"/>
        </w:rPr>
        <w:t>ricerca sanitaria finalizzata</w:t>
      </w:r>
      <w:r>
        <w:rPr>
          <w:rFonts w:ascii="Arial" w:hAnsi="Arial"/>
          <w:sz w:val="22"/>
          <w:szCs w:val="22"/>
        </w:rPr>
        <w:t xml:space="preserve"> investite su progetti per le malattie rare (in calo rispetto all</w:t>
      </w:r>
      <w:r>
        <w:rPr>
          <w:rFonts w:ascii="Arial" w:hAnsi="Arial"/>
          <w:sz w:val="22"/>
          <w:szCs w:val="22"/>
        </w:rPr>
        <w:t>’</w:t>
      </w:r>
      <w:r>
        <w:rPr>
          <w:rFonts w:ascii="Arial" w:hAnsi="Arial"/>
          <w:sz w:val="22"/>
          <w:szCs w:val="22"/>
        </w:rPr>
        <w:t>anno precedente);</w:t>
      </w:r>
    </w:p>
    <w:p w:rsidR="00CE0900" w:rsidRDefault="00CE0900">
      <w:pPr>
        <w:pStyle w:val="Paragrafoelenco"/>
      </w:pPr>
    </w:p>
    <w:p w:rsidR="00CE0900" w:rsidRDefault="00470D8F">
      <w:pPr>
        <w:pStyle w:val="Testonormale"/>
        <w:numPr>
          <w:ilvl w:val="1"/>
          <w:numId w:val="2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7 dei 12 progetti finanziati dal Bando AIFA 2017 per la ricerca indipendente sono relativi alle malattie rare</w:t>
      </w:r>
      <w:r>
        <w:rPr>
          <w:rFonts w:ascii="Arial" w:hAnsi="Arial"/>
          <w:sz w:val="22"/>
          <w:szCs w:val="22"/>
        </w:rPr>
        <w:t>;</w:t>
      </w:r>
    </w:p>
    <w:p w:rsidR="00CE0900" w:rsidRDefault="00CE0900">
      <w:pPr>
        <w:pStyle w:val="Testonormale"/>
        <w:spacing w:line="276" w:lineRule="auto"/>
        <w:ind w:left="720"/>
      </w:pPr>
    </w:p>
    <w:p w:rsidR="00CE0900" w:rsidRDefault="00CE0900">
      <w:pPr>
        <w:pStyle w:val="Testonormale"/>
        <w:spacing w:line="276" w:lineRule="auto"/>
        <w:ind w:left="720"/>
      </w:pPr>
    </w:p>
    <w:p w:rsidR="00CE0900" w:rsidRDefault="00470D8F">
      <w:pPr>
        <w:pStyle w:val="Testonormale"/>
        <w:numPr>
          <w:ilvl w:val="0"/>
          <w:numId w:val="2"/>
        </w:numPr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la </w:t>
      </w:r>
      <w:proofErr w:type="spellStart"/>
      <w:r>
        <w:rPr>
          <w:rFonts w:ascii="Arial" w:hAnsi="Arial"/>
          <w:b/>
          <w:bCs/>
          <w:sz w:val="22"/>
          <w:szCs w:val="22"/>
        </w:rPr>
        <w:t>qualit</w:t>
      </w:r>
      <w:proofErr w:type="spellEnd"/>
      <w:r>
        <w:rPr>
          <w:rFonts w:ascii="Arial" w:hAnsi="Arial"/>
          <w:b/>
          <w:bCs/>
          <w:sz w:val="22"/>
          <w:szCs w:val="22"/>
          <w:lang w:val="fr-FR"/>
        </w:rPr>
        <w:t xml:space="preserve">à </w:t>
      </w:r>
      <w:r>
        <w:rPr>
          <w:rFonts w:ascii="Arial" w:hAnsi="Arial"/>
          <w:b/>
          <w:bCs/>
          <w:sz w:val="22"/>
          <w:szCs w:val="22"/>
        </w:rPr>
        <w:t>dei centri di competenza</w:t>
      </w:r>
    </w:p>
    <w:p w:rsidR="00CE0900" w:rsidRDefault="00470D8F">
      <w:pPr>
        <w:pStyle w:val="Testonormale"/>
        <w:numPr>
          <w:ilvl w:val="1"/>
          <w:numId w:val="2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l</w:t>
      </w:r>
      <w:r>
        <w:rPr>
          <w:rFonts w:ascii="Arial" w:hAnsi="Arial"/>
          <w:b/>
          <w:bCs/>
          <w:sz w:val="22"/>
          <w:szCs w:val="22"/>
        </w:rPr>
        <w:t>’</w:t>
      </w:r>
      <w:r>
        <w:rPr>
          <w:rFonts w:ascii="Arial" w:hAnsi="Arial"/>
          <w:b/>
          <w:bCs/>
          <w:sz w:val="22"/>
          <w:szCs w:val="22"/>
        </w:rPr>
        <w:t xml:space="preserve">Italia </w:t>
      </w:r>
      <w:r>
        <w:rPr>
          <w:rFonts w:ascii="Arial" w:hAnsi="Arial"/>
          <w:b/>
          <w:bCs/>
          <w:sz w:val="22"/>
          <w:szCs w:val="22"/>
        </w:rPr>
        <w:t xml:space="preserve">è </w:t>
      </w:r>
      <w:r>
        <w:rPr>
          <w:rFonts w:ascii="Arial" w:hAnsi="Arial"/>
          <w:b/>
          <w:bCs/>
          <w:sz w:val="22"/>
          <w:szCs w:val="22"/>
        </w:rPr>
        <w:t xml:space="preserve">al primo posto per numero di </w:t>
      </w:r>
      <w:r>
        <w:rPr>
          <w:rFonts w:ascii="Arial" w:hAnsi="Arial"/>
          <w:b/>
          <w:bCs/>
          <w:i/>
          <w:iCs/>
          <w:sz w:val="22"/>
          <w:szCs w:val="22"/>
          <w:lang w:val="en-US"/>
        </w:rPr>
        <w:t>health care providers</w:t>
      </w:r>
      <w:r>
        <w:rPr>
          <w:rFonts w:ascii="Arial" w:hAnsi="Arial"/>
          <w:b/>
          <w:bCs/>
          <w:sz w:val="22"/>
          <w:szCs w:val="22"/>
        </w:rPr>
        <w:t xml:space="preserve"> (</w:t>
      </w:r>
      <w:proofErr w:type="spellStart"/>
      <w:r>
        <w:rPr>
          <w:rFonts w:ascii="Arial" w:hAnsi="Arial"/>
          <w:b/>
          <w:bCs/>
          <w:sz w:val="22"/>
          <w:szCs w:val="22"/>
        </w:rPr>
        <w:t>HCPs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) membri delle </w:t>
      </w:r>
      <w:r>
        <w:rPr>
          <w:rFonts w:ascii="Arial" w:hAnsi="Arial"/>
          <w:b/>
          <w:bCs/>
          <w:i/>
          <w:iCs/>
          <w:sz w:val="22"/>
          <w:szCs w:val="22"/>
          <w:lang w:val="en-US"/>
        </w:rPr>
        <w:t>European Reference Networks</w:t>
      </w:r>
      <w:r>
        <w:rPr>
          <w:rFonts w:ascii="Arial" w:hAnsi="Arial"/>
          <w:b/>
          <w:bCs/>
          <w:sz w:val="22"/>
          <w:szCs w:val="22"/>
          <w:lang w:val="de-DE"/>
        </w:rPr>
        <w:t xml:space="preserve"> (ERNs)</w:t>
      </w:r>
      <w:r>
        <w:rPr>
          <w:rFonts w:ascii="Arial" w:hAnsi="Arial"/>
          <w:sz w:val="22"/>
          <w:szCs w:val="22"/>
        </w:rPr>
        <w:t>: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188 sui 952 totali (20,0%) e gli </w:t>
      </w:r>
      <w:proofErr w:type="spellStart"/>
      <w:r>
        <w:rPr>
          <w:rFonts w:ascii="Arial" w:hAnsi="Arial"/>
          <w:sz w:val="22"/>
          <w:szCs w:val="22"/>
        </w:rPr>
        <w:t>HCPs</w:t>
      </w:r>
      <w:proofErr w:type="spellEnd"/>
      <w:r>
        <w:rPr>
          <w:rFonts w:ascii="Arial" w:hAnsi="Arial"/>
          <w:sz w:val="22"/>
          <w:szCs w:val="22"/>
        </w:rPr>
        <w:t xml:space="preserve"> italiani sono presenti in tutte le </w:t>
      </w:r>
      <w:proofErr w:type="spellStart"/>
      <w:r>
        <w:rPr>
          <w:rFonts w:ascii="Arial" w:hAnsi="Arial"/>
          <w:sz w:val="22"/>
          <w:szCs w:val="22"/>
        </w:rPr>
        <w:t>ERNs</w:t>
      </w:r>
      <w:proofErr w:type="spellEnd"/>
      <w:r>
        <w:rPr>
          <w:rFonts w:ascii="Arial" w:hAnsi="Arial"/>
          <w:sz w:val="22"/>
          <w:szCs w:val="22"/>
        </w:rPr>
        <w:t xml:space="preserve"> eccetto una (solo Fra</w:t>
      </w:r>
      <w:r>
        <w:rPr>
          <w:rFonts w:ascii="Arial" w:hAnsi="Arial"/>
          <w:sz w:val="22"/>
          <w:szCs w:val="22"/>
        </w:rPr>
        <w:t xml:space="preserve">ncia, Olanda e Belgio sono presenti in tutte e 24 le </w:t>
      </w:r>
      <w:proofErr w:type="spellStart"/>
      <w:r>
        <w:rPr>
          <w:rFonts w:ascii="Arial" w:hAnsi="Arial"/>
          <w:sz w:val="22"/>
          <w:szCs w:val="22"/>
        </w:rPr>
        <w:t>ERNs</w:t>
      </w:r>
      <w:proofErr w:type="spellEnd"/>
      <w:r>
        <w:rPr>
          <w:rFonts w:ascii="Arial" w:hAnsi="Arial"/>
          <w:sz w:val="22"/>
          <w:szCs w:val="22"/>
        </w:rPr>
        <w:t xml:space="preserve">). Mediamente vi sono 6 </w:t>
      </w:r>
      <w:proofErr w:type="spellStart"/>
      <w:r>
        <w:rPr>
          <w:rFonts w:ascii="Arial" w:hAnsi="Arial"/>
          <w:sz w:val="22"/>
          <w:szCs w:val="22"/>
        </w:rPr>
        <w:t>HCPs</w:t>
      </w:r>
      <w:proofErr w:type="spellEnd"/>
      <w:r>
        <w:rPr>
          <w:rFonts w:ascii="Arial" w:hAnsi="Arial"/>
          <w:sz w:val="22"/>
          <w:szCs w:val="22"/>
        </w:rPr>
        <w:t xml:space="preserve"> italiani per ciascuna ERN;</w:t>
      </w:r>
    </w:p>
    <w:p w:rsidR="00CE0900" w:rsidRDefault="00CE0900">
      <w:pPr>
        <w:pStyle w:val="Testonormale"/>
        <w:spacing w:line="276" w:lineRule="auto"/>
        <w:ind w:left="1440"/>
        <w:jc w:val="both"/>
      </w:pPr>
    </w:p>
    <w:p w:rsidR="00CE0900" w:rsidRDefault="00470D8F">
      <w:pPr>
        <w:pStyle w:val="Testonormale"/>
        <w:numPr>
          <w:ilvl w:val="0"/>
          <w:numId w:val="2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lastRenderedPageBreak/>
        <w:t>l</w:t>
      </w:r>
      <w:r>
        <w:rPr>
          <w:rFonts w:ascii="Arial" w:hAnsi="Arial"/>
          <w:b/>
          <w:bCs/>
          <w:sz w:val="22"/>
          <w:szCs w:val="22"/>
        </w:rPr>
        <w:t>’</w:t>
      </w:r>
      <w:r>
        <w:rPr>
          <w:rFonts w:ascii="Arial" w:hAnsi="Arial"/>
          <w:b/>
          <w:bCs/>
          <w:sz w:val="22"/>
          <w:szCs w:val="22"/>
        </w:rPr>
        <w:t>attiva partecipazione delle persone con malattia rare e dei loro rappresentanti associativi</w:t>
      </w:r>
    </w:p>
    <w:p w:rsidR="00CE0900" w:rsidRDefault="00470D8F">
      <w:pPr>
        <w:pStyle w:val="Paragrafoelenco"/>
        <w:numPr>
          <w:ilvl w:val="1"/>
          <w:numId w:val="2"/>
        </w:numPr>
        <w:spacing w:line="276" w:lineRule="auto"/>
        <w:jc w:val="both"/>
        <w:rPr>
          <w:rFonts w:ascii="Arial" w:hAnsi="Arial"/>
          <w:b/>
          <w:bCs/>
        </w:rPr>
      </w:pPr>
      <w:r>
        <w:rPr>
          <w:rFonts w:ascii="Arial" w:hAnsi="Arial"/>
        </w:rPr>
        <w:t xml:space="preserve">come sopra ricordato, </w:t>
      </w:r>
      <w:r>
        <w:rPr>
          <w:rFonts w:ascii="Arial" w:hAnsi="Arial"/>
          <w:b/>
          <w:bCs/>
        </w:rPr>
        <w:t>un rappresentante delle pe</w:t>
      </w:r>
      <w:r>
        <w:rPr>
          <w:rFonts w:ascii="Arial" w:hAnsi="Arial"/>
          <w:b/>
          <w:bCs/>
        </w:rPr>
        <w:t xml:space="preserve">rsone con malattia rara </w:t>
      </w:r>
      <w:r>
        <w:rPr>
          <w:rFonts w:ascii="Arial" w:hAnsi="Arial"/>
          <w:b/>
          <w:bCs/>
        </w:rPr>
        <w:t xml:space="preserve">è </w:t>
      </w:r>
      <w:r>
        <w:rPr>
          <w:rFonts w:ascii="Arial" w:hAnsi="Arial"/>
          <w:b/>
          <w:bCs/>
        </w:rPr>
        <w:t>stato confermato fra i componenti del Gruppo di Lavoro</w:t>
      </w:r>
      <w:r>
        <w:rPr>
          <w:rFonts w:ascii="Arial" w:hAnsi="Arial"/>
        </w:rPr>
        <w:t> </w:t>
      </w:r>
      <w:r>
        <w:rPr>
          <w:rFonts w:ascii="Arial" w:hAnsi="Arial"/>
        </w:rPr>
        <w:t>che dovr</w:t>
      </w:r>
      <w:r>
        <w:rPr>
          <w:rFonts w:ascii="Arial" w:hAnsi="Arial"/>
        </w:rPr>
        <w:t xml:space="preserve">à </w:t>
      </w:r>
      <w:r>
        <w:rPr>
          <w:rFonts w:ascii="Arial" w:hAnsi="Arial"/>
        </w:rPr>
        <w:t>portare all</w:t>
      </w:r>
      <w:r>
        <w:rPr>
          <w:rFonts w:ascii="Arial" w:hAnsi="Arial"/>
        </w:rPr>
        <w:t>’</w:t>
      </w:r>
      <w:r>
        <w:rPr>
          <w:rFonts w:ascii="Arial" w:hAnsi="Arial"/>
        </w:rPr>
        <w:t xml:space="preserve">aggiornamento del </w:t>
      </w:r>
      <w:r>
        <w:rPr>
          <w:rFonts w:ascii="Arial" w:hAnsi="Arial"/>
          <w:b/>
          <w:bCs/>
        </w:rPr>
        <w:t xml:space="preserve">Piano Nazionale delle Malattie Rare </w:t>
      </w:r>
      <w:r>
        <w:rPr>
          <w:rFonts w:ascii="Arial" w:hAnsi="Arial"/>
        </w:rPr>
        <w:t>e che assume anche la funzione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>dell</w:t>
      </w:r>
      <w:r>
        <w:rPr>
          <w:rFonts w:ascii="Arial" w:hAnsi="Arial"/>
        </w:rPr>
        <w:t>’</w:t>
      </w:r>
      <w:r>
        <w:rPr>
          <w:rFonts w:ascii="Arial" w:hAnsi="Arial"/>
          <w:b/>
          <w:bCs/>
        </w:rPr>
        <w:t>Organismo di Coordinamento e Monitoraggio per lo sviluppo delle</w:t>
      </w:r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ERNs</w:t>
      </w:r>
      <w:proofErr w:type="spellEnd"/>
      <w:r>
        <w:rPr>
          <w:rFonts w:ascii="Arial" w:hAnsi="Arial"/>
        </w:rPr>
        <w:t>;</w:t>
      </w:r>
    </w:p>
    <w:p w:rsidR="00CE0900" w:rsidRDefault="00470D8F">
      <w:pPr>
        <w:pStyle w:val="Paragrafoelenco"/>
        <w:numPr>
          <w:ilvl w:val="1"/>
          <w:numId w:val="2"/>
        </w:numPr>
        <w:spacing w:line="276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17 </w:t>
      </w:r>
      <w:r>
        <w:rPr>
          <w:rFonts w:ascii="Arial" w:hAnsi="Arial"/>
        </w:rPr>
        <w:t>le</w:t>
      </w:r>
      <w:r>
        <w:rPr>
          <w:rFonts w:ascii="Arial" w:hAnsi="Arial"/>
          <w:b/>
          <w:bCs/>
        </w:rPr>
        <w:t xml:space="preserve"> Regioni/PPAA </w:t>
      </w:r>
      <w:r>
        <w:rPr>
          <w:rFonts w:ascii="Arial" w:hAnsi="Arial"/>
        </w:rPr>
        <w:t>che prevedono la</w:t>
      </w:r>
      <w:r>
        <w:rPr>
          <w:rFonts w:ascii="Arial" w:hAnsi="Arial"/>
          <w:b/>
          <w:bCs/>
        </w:rPr>
        <w:t xml:space="preserve"> presenza dei rappresentanti delle associazioni delle persone con malattia rara negli organismi di partecipazione a livello regionale sulle malattie rare;</w:t>
      </w:r>
    </w:p>
    <w:p w:rsidR="00CE0900" w:rsidRDefault="00470D8F">
      <w:pPr>
        <w:pStyle w:val="Paragrafoelenco"/>
        <w:numPr>
          <w:ilvl w:val="1"/>
          <w:numId w:val="2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i rappresentanti delle </w:t>
      </w:r>
      <w:proofErr w:type="spellStart"/>
      <w:r>
        <w:rPr>
          <w:rFonts w:ascii="Arial" w:hAnsi="Arial"/>
          <w:b/>
          <w:bCs/>
        </w:rPr>
        <w:t>PcMR</w:t>
      </w:r>
      <w:proofErr w:type="spellEnd"/>
      <w:r>
        <w:rPr>
          <w:rFonts w:ascii="Arial" w:hAnsi="Arial"/>
          <w:b/>
          <w:bCs/>
        </w:rPr>
        <w:t xml:space="preserve"> italiane coinvolti nei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 xml:space="preserve">24 </w:t>
      </w:r>
      <w:proofErr w:type="spellStart"/>
      <w:r>
        <w:rPr>
          <w:rFonts w:ascii="Arial" w:hAnsi="Arial"/>
          <w:b/>
          <w:bCs/>
          <w:i/>
          <w:iCs/>
        </w:rPr>
        <w:t>europ</w:t>
      </w:r>
      <w:r>
        <w:rPr>
          <w:rFonts w:ascii="Arial" w:hAnsi="Arial"/>
          <w:b/>
          <w:bCs/>
          <w:i/>
          <w:iCs/>
        </w:rPr>
        <w:t>ean</w:t>
      </w:r>
      <w:proofErr w:type="spellEnd"/>
      <w:r>
        <w:rPr>
          <w:rFonts w:ascii="Arial" w:hAnsi="Arial"/>
          <w:b/>
          <w:bCs/>
          <w:i/>
          <w:iCs/>
        </w:rPr>
        <w:t xml:space="preserve"> patient advocacy </w:t>
      </w:r>
      <w:proofErr w:type="spellStart"/>
      <w:r>
        <w:rPr>
          <w:rFonts w:ascii="Arial" w:hAnsi="Arial"/>
          <w:b/>
          <w:bCs/>
          <w:i/>
          <w:iCs/>
        </w:rPr>
        <w:t>groups</w:t>
      </w:r>
      <w:proofErr w:type="spellEnd"/>
      <w:r>
        <w:rPr>
          <w:rFonts w:ascii="Arial" w:hAnsi="Arial"/>
          <w:i/>
          <w:iCs/>
        </w:rPr>
        <w:t xml:space="preserve"> (</w:t>
      </w:r>
      <w:proofErr w:type="spellStart"/>
      <w:r>
        <w:rPr>
          <w:rFonts w:ascii="Arial" w:hAnsi="Arial"/>
          <w:b/>
          <w:bCs/>
        </w:rPr>
        <w:t>ePAGs</w:t>
      </w:r>
      <w:proofErr w:type="spellEnd"/>
      <w:r>
        <w:rPr>
          <w:rFonts w:ascii="Arial" w:hAnsi="Arial"/>
        </w:rPr>
        <w:t>)</w:t>
      </w:r>
      <w:r>
        <w:rPr>
          <w:rFonts w:ascii="Arial" w:hAnsi="Arial"/>
          <w:i/>
          <w:iCs/>
        </w:rPr>
        <w:t xml:space="preserve"> </w:t>
      </w:r>
      <w:r>
        <w:rPr>
          <w:rFonts w:ascii="Arial" w:hAnsi="Arial"/>
        </w:rPr>
        <w:t xml:space="preserve">formalmente costituiti </w:t>
      </w:r>
      <w:r>
        <w:rPr>
          <w:rFonts w:ascii="Arial" w:hAnsi="Arial"/>
          <w:b/>
          <w:bCs/>
        </w:rPr>
        <w:t xml:space="preserve">sono 36 </w:t>
      </w:r>
      <w:r>
        <w:rPr>
          <w:rFonts w:ascii="Arial" w:hAnsi="Arial"/>
        </w:rPr>
        <w:t>su</w:t>
      </w:r>
      <w:r>
        <w:rPr>
          <w:rFonts w:ascii="Arial" w:hAnsi="Arial"/>
          <w:b/>
          <w:bCs/>
        </w:rPr>
        <w:t xml:space="preserve"> 263 (13,7%</w:t>
      </w:r>
      <w:r>
        <w:rPr>
          <w:rFonts w:ascii="Arial" w:hAnsi="Arial"/>
        </w:rPr>
        <w:t>) rispetto ai 17 (su 86, 19,7% delle primavera 2016)</w:t>
      </w:r>
      <w:r>
        <w:rPr>
          <w:rFonts w:ascii="Arial" w:hAnsi="Arial"/>
          <w:b/>
          <w:bCs/>
        </w:rPr>
        <w:t xml:space="preserve">; </w:t>
      </w:r>
      <w:r>
        <w:rPr>
          <w:rFonts w:ascii="Arial" w:hAnsi="Arial"/>
        </w:rPr>
        <w:t xml:space="preserve">sono </w:t>
      </w:r>
      <w:r>
        <w:rPr>
          <w:rFonts w:ascii="Arial" w:hAnsi="Arial"/>
          <w:b/>
          <w:bCs/>
        </w:rPr>
        <w:t xml:space="preserve">16 </w:t>
      </w:r>
      <w:r>
        <w:rPr>
          <w:rFonts w:ascii="Arial" w:hAnsi="Arial"/>
        </w:rPr>
        <w:t>su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>24</w:t>
      </w:r>
      <w:r>
        <w:rPr>
          <w:rFonts w:ascii="Arial" w:hAnsi="Arial"/>
          <w:b/>
          <w:bCs/>
        </w:rPr>
        <w:t xml:space="preserve"> (66,7% </w:t>
      </w:r>
      <w:r>
        <w:rPr>
          <w:rFonts w:ascii="Arial" w:hAnsi="Arial"/>
        </w:rPr>
        <w:t>versus il 62,6% dell</w:t>
      </w:r>
      <w:r>
        <w:rPr>
          <w:rFonts w:ascii="Arial" w:hAnsi="Arial"/>
        </w:rPr>
        <w:t>’</w:t>
      </w:r>
      <w:r>
        <w:rPr>
          <w:rFonts w:ascii="Arial" w:hAnsi="Arial"/>
        </w:rPr>
        <w:t>anno precedente</w:t>
      </w:r>
      <w:r>
        <w:rPr>
          <w:rFonts w:ascii="Arial" w:hAnsi="Arial"/>
          <w:b/>
          <w:bCs/>
        </w:rPr>
        <w:t xml:space="preserve">) gli </w:t>
      </w:r>
      <w:proofErr w:type="spellStart"/>
      <w:r>
        <w:rPr>
          <w:rFonts w:ascii="Arial" w:hAnsi="Arial"/>
          <w:b/>
          <w:bCs/>
        </w:rPr>
        <w:t>ePAGs</w:t>
      </w:r>
      <w:proofErr w:type="spellEnd"/>
      <w:r>
        <w:rPr>
          <w:rFonts w:ascii="Arial" w:hAnsi="Arial"/>
          <w:b/>
          <w:bCs/>
        </w:rPr>
        <w:t xml:space="preserve"> in cui </w:t>
      </w:r>
      <w:r>
        <w:rPr>
          <w:rFonts w:ascii="Arial" w:hAnsi="Arial"/>
          <w:b/>
          <w:bCs/>
        </w:rPr>
        <w:t xml:space="preserve">è </w:t>
      </w:r>
      <w:r>
        <w:rPr>
          <w:rFonts w:ascii="Arial" w:hAnsi="Arial"/>
          <w:b/>
          <w:bCs/>
        </w:rPr>
        <w:t>presente almeno un rappresentante italiano</w:t>
      </w:r>
      <w:r>
        <w:rPr>
          <w:rFonts w:ascii="Arial" w:hAnsi="Arial"/>
        </w:rPr>
        <w:t>;</w:t>
      </w:r>
    </w:p>
    <w:p w:rsidR="00CE0900" w:rsidRDefault="00470D8F">
      <w:pPr>
        <w:pStyle w:val="Paragrafoelenco"/>
        <w:numPr>
          <w:ilvl w:val="1"/>
          <w:numId w:val="2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3 rappresentanti delle persone con malattia rara sono componenti del </w:t>
      </w:r>
      <w:r>
        <w:rPr>
          <w:rFonts w:ascii="Arial" w:hAnsi="Arial"/>
          <w:b/>
          <w:bCs/>
        </w:rPr>
        <w:t>“</w:t>
      </w:r>
      <w:r>
        <w:rPr>
          <w:rFonts w:ascii="Arial" w:hAnsi="Arial"/>
          <w:b/>
          <w:bCs/>
        </w:rPr>
        <w:t>Centro di coordinamento sugli screening neonatali</w:t>
      </w:r>
      <w:r>
        <w:rPr>
          <w:rFonts w:ascii="Arial" w:hAnsi="Arial"/>
          <w:b/>
          <w:bCs/>
        </w:rPr>
        <w:t xml:space="preserve">” </w:t>
      </w:r>
      <w:r>
        <w:rPr>
          <w:rFonts w:ascii="Arial" w:hAnsi="Arial"/>
        </w:rPr>
        <w:t>previsto dall</w:t>
      </w:r>
      <w:r>
        <w:rPr>
          <w:rFonts w:ascii="Arial" w:hAnsi="Arial"/>
        </w:rPr>
        <w:t>’</w:t>
      </w:r>
      <w:r>
        <w:rPr>
          <w:rFonts w:ascii="Arial" w:hAnsi="Arial"/>
        </w:rPr>
        <w:t xml:space="preserve">art. 3 della Legge n. 167 del 19 agosto 2016 </w:t>
      </w:r>
      <w:r>
        <w:rPr>
          <w:rFonts w:ascii="Arial" w:hAnsi="Arial"/>
        </w:rPr>
        <w:t>“</w:t>
      </w:r>
      <w:r>
        <w:rPr>
          <w:rFonts w:ascii="Arial" w:hAnsi="Arial"/>
          <w:i/>
          <w:iCs/>
        </w:rPr>
        <w:t>Disposizioni in materia di accertamenti diagnostici neonatali obbligatori p</w:t>
      </w:r>
      <w:r>
        <w:rPr>
          <w:rFonts w:ascii="Arial" w:hAnsi="Arial"/>
          <w:i/>
          <w:iCs/>
        </w:rPr>
        <w:t>er la prevenzione e la cura delle malattie metaboliche ereditarie;</w:t>
      </w:r>
    </w:p>
    <w:p w:rsidR="00CE0900" w:rsidRDefault="00470D8F">
      <w:pPr>
        <w:pStyle w:val="Paragrafoelenco"/>
        <w:numPr>
          <w:ilvl w:val="1"/>
          <w:numId w:val="2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un rappresentante delle persone con malattia rara </w:t>
      </w:r>
      <w:r>
        <w:rPr>
          <w:rFonts w:ascii="Arial" w:hAnsi="Arial"/>
          <w:b/>
          <w:bCs/>
        </w:rPr>
        <w:t xml:space="preserve">è </w:t>
      </w:r>
      <w:r>
        <w:rPr>
          <w:rFonts w:ascii="Arial" w:hAnsi="Arial"/>
          <w:b/>
          <w:bCs/>
        </w:rPr>
        <w:t xml:space="preserve">componente del </w:t>
      </w:r>
      <w:r>
        <w:rPr>
          <w:rFonts w:ascii="Arial" w:hAnsi="Arial"/>
          <w:b/>
          <w:bCs/>
        </w:rPr>
        <w:t>“</w:t>
      </w:r>
      <w:r>
        <w:rPr>
          <w:rFonts w:ascii="Arial" w:hAnsi="Arial"/>
          <w:b/>
          <w:bCs/>
        </w:rPr>
        <w:t>Centro di Coordinamento Nazionale dei Comitati Etici Territoriali</w:t>
      </w:r>
      <w:r>
        <w:rPr>
          <w:rFonts w:ascii="Arial" w:hAnsi="Arial"/>
          <w:b/>
          <w:bCs/>
        </w:rPr>
        <w:t>”</w:t>
      </w:r>
      <w:r>
        <w:rPr>
          <w:rFonts w:ascii="Arial" w:hAnsi="Arial"/>
        </w:rPr>
        <w:t xml:space="preserve"> previsto dalla Legge 11 gennaio 2018, n. 3 </w:t>
      </w:r>
      <w:r>
        <w:rPr>
          <w:rFonts w:ascii="Arial" w:hAnsi="Arial"/>
        </w:rPr>
        <w:t>“</w:t>
      </w:r>
      <w:r>
        <w:rPr>
          <w:rFonts w:ascii="Arial" w:hAnsi="Arial"/>
          <w:i/>
          <w:iCs/>
        </w:rPr>
        <w:t xml:space="preserve">Delega al </w:t>
      </w:r>
      <w:r>
        <w:rPr>
          <w:rFonts w:ascii="Arial" w:hAnsi="Arial"/>
          <w:i/>
          <w:iCs/>
        </w:rPr>
        <w:t>Governo in materia di sperimentazione clinica di medicinali nonch</w:t>
      </w:r>
      <w:r>
        <w:rPr>
          <w:rFonts w:ascii="Arial" w:hAnsi="Arial"/>
          <w:i/>
          <w:iCs/>
        </w:rPr>
        <w:t xml:space="preserve">é </w:t>
      </w:r>
      <w:r>
        <w:rPr>
          <w:rFonts w:ascii="Arial" w:hAnsi="Arial"/>
          <w:i/>
          <w:iCs/>
        </w:rPr>
        <w:t>disposizioni per il riordino delle professioni sanitarie e per la dirigenza sanitaria del Ministero della salute</w:t>
      </w:r>
      <w:r>
        <w:rPr>
          <w:rFonts w:ascii="Arial" w:hAnsi="Arial"/>
        </w:rPr>
        <w:t>”</w:t>
      </w:r>
      <w:r>
        <w:rPr>
          <w:rFonts w:ascii="Arial" w:hAnsi="Arial"/>
        </w:rPr>
        <w:t>.</w:t>
      </w:r>
    </w:p>
    <w:p w:rsidR="00CE0900" w:rsidRDefault="00470D8F">
      <w:pPr>
        <w:jc w:val="both"/>
      </w:pPr>
      <w:r>
        <w:rPr>
          <w:rFonts w:ascii="Arial" w:hAnsi="Arial"/>
        </w:rPr>
        <w:t xml:space="preserve">Da registrare positivamente anche il fatto che, a fine 2018, sono 17 le </w:t>
      </w:r>
      <w:r>
        <w:rPr>
          <w:rFonts w:ascii="Arial" w:hAnsi="Arial"/>
        </w:rPr>
        <w:t>Regioni/PPAA che hanno inserito il tema delle malattie rare nell</w:t>
      </w:r>
      <w:r>
        <w:rPr>
          <w:rFonts w:ascii="Arial" w:hAnsi="Arial"/>
        </w:rPr>
        <w:t>’</w:t>
      </w:r>
      <w:r>
        <w:rPr>
          <w:rFonts w:ascii="Arial" w:hAnsi="Arial"/>
        </w:rPr>
        <w:t xml:space="preserve">ambito degli strumenti generali di programmazione sanitaria (vigenti o in via di approvazione nel 2018) o che hanno definito un Piano Regionale Malattie Rare. </w:t>
      </w:r>
    </w:p>
    <w:p w:rsidR="00CE0900" w:rsidRDefault="00470D8F">
      <w:pPr>
        <w:jc w:val="both"/>
      </w:pPr>
      <w:r>
        <w:rPr>
          <w:rFonts w:ascii="Arial" w:hAnsi="Arial"/>
        </w:rPr>
        <w:t>Una citazione a s</w:t>
      </w:r>
      <w:r>
        <w:rPr>
          <w:rFonts w:ascii="Arial" w:hAnsi="Arial"/>
        </w:rPr>
        <w:t xml:space="preserve">é </w:t>
      </w:r>
      <w:r>
        <w:rPr>
          <w:rFonts w:ascii="Arial" w:hAnsi="Arial"/>
        </w:rPr>
        <w:t>merita anche</w:t>
      </w:r>
      <w:r>
        <w:rPr>
          <w:rFonts w:ascii="Arial" w:hAnsi="Arial"/>
        </w:rPr>
        <w:t xml:space="preserve"> lo sforzo che l</w:t>
      </w:r>
      <w:r>
        <w:rPr>
          <w:rFonts w:ascii="Arial" w:hAnsi="Arial"/>
        </w:rPr>
        <w:t>’</w:t>
      </w:r>
      <w:r>
        <w:rPr>
          <w:rFonts w:ascii="Arial" w:hAnsi="Arial"/>
        </w:rPr>
        <w:t xml:space="preserve">INPS sta profondendo per </w:t>
      </w:r>
      <w:r>
        <w:rPr>
          <w:rFonts w:ascii="Arial" w:hAnsi="Arial"/>
          <w:b/>
          <w:bCs/>
        </w:rPr>
        <w:t>l</w:t>
      </w:r>
      <w:r>
        <w:rPr>
          <w:rFonts w:ascii="Arial" w:hAnsi="Arial"/>
          <w:b/>
          <w:bCs/>
        </w:rPr>
        <w:t>’</w:t>
      </w:r>
      <w:r>
        <w:rPr>
          <w:rFonts w:ascii="Arial" w:hAnsi="Arial"/>
          <w:b/>
          <w:bCs/>
        </w:rPr>
        <w:t>adeguata valutazione della complessit</w:t>
      </w:r>
      <w:r>
        <w:rPr>
          <w:rFonts w:ascii="Arial" w:hAnsi="Arial"/>
          <w:b/>
          <w:bCs/>
        </w:rPr>
        <w:t xml:space="preserve">à </w:t>
      </w:r>
      <w:r>
        <w:rPr>
          <w:rFonts w:ascii="Arial" w:hAnsi="Arial"/>
          <w:b/>
          <w:bCs/>
        </w:rPr>
        <w:t>delle malattie rare in sede di commissione di riconoscimento dell</w:t>
      </w:r>
      <w:r>
        <w:rPr>
          <w:rFonts w:ascii="Arial" w:hAnsi="Arial"/>
          <w:b/>
          <w:bCs/>
        </w:rPr>
        <w:t>’</w:t>
      </w:r>
      <w:r>
        <w:rPr>
          <w:rFonts w:ascii="Arial" w:hAnsi="Arial"/>
          <w:b/>
          <w:bCs/>
        </w:rPr>
        <w:t>invalidit</w:t>
      </w:r>
      <w:r>
        <w:rPr>
          <w:rFonts w:ascii="Arial" w:hAnsi="Arial"/>
          <w:b/>
          <w:bCs/>
        </w:rPr>
        <w:t xml:space="preserve">à </w:t>
      </w:r>
      <w:r>
        <w:rPr>
          <w:rFonts w:ascii="Arial" w:hAnsi="Arial"/>
          <w:b/>
          <w:bCs/>
        </w:rPr>
        <w:t>civile</w:t>
      </w:r>
      <w:r>
        <w:rPr>
          <w:rFonts w:ascii="Arial" w:hAnsi="Arial"/>
        </w:rPr>
        <w:t>. Il positivo impatto delle linee guida e delle comunicazioni tecnico-scientifiche, elabor</w:t>
      </w:r>
      <w:r>
        <w:rPr>
          <w:rFonts w:ascii="Arial" w:hAnsi="Arial"/>
        </w:rPr>
        <w:t>ate sul tema dall</w:t>
      </w:r>
      <w:r>
        <w:rPr>
          <w:rFonts w:ascii="Arial" w:hAnsi="Arial"/>
        </w:rPr>
        <w:t>’</w:t>
      </w:r>
      <w:r>
        <w:rPr>
          <w:rFonts w:ascii="Arial" w:hAnsi="Arial"/>
        </w:rPr>
        <w:t xml:space="preserve">INPS, </w:t>
      </w:r>
      <w:r>
        <w:rPr>
          <w:rFonts w:ascii="Arial" w:hAnsi="Arial"/>
        </w:rPr>
        <w:t xml:space="preserve">– </w:t>
      </w:r>
      <w:r>
        <w:rPr>
          <w:rFonts w:ascii="Arial" w:hAnsi="Arial"/>
        </w:rPr>
        <w:t>diverse delle quali solo nell</w:t>
      </w:r>
      <w:r>
        <w:rPr>
          <w:rFonts w:ascii="Arial" w:hAnsi="Arial"/>
        </w:rPr>
        <w:t>’</w:t>
      </w:r>
      <w:r>
        <w:rPr>
          <w:rFonts w:ascii="Arial" w:hAnsi="Arial"/>
        </w:rPr>
        <w:t xml:space="preserve">ultimo anno e quindi ancora lungi dal produrre pienamente i loro effetti </w:t>
      </w:r>
      <w:r>
        <w:rPr>
          <w:rFonts w:ascii="Arial" w:hAnsi="Arial"/>
        </w:rPr>
        <w:t xml:space="preserve">– </w:t>
      </w:r>
      <w:r>
        <w:rPr>
          <w:rFonts w:ascii="Arial" w:hAnsi="Arial"/>
        </w:rPr>
        <w:t xml:space="preserve">sono evidenti dai dati relativi al </w:t>
      </w:r>
      <w:r>
        <w:rPr>
          <w:rFonts w:ascii="Arial" w:hAnsi="Arial"/>
          <w:b/>
          <w:bCs/>
        </w:rPr>
        <w:t>riconoscimento dell</w:t>
      </w:r>
      <w:r>
        <w:rPr>
          <w:rFonts w:ascii="Arial" w:hAnsi="Arial"/>
          <w:b/>
          <w:bCs/>
        </w:rPr>
        <w:t>’</w:t>
      </w:r>
      <w:r>
        <w:rPr>
          <w:rFonts w:ascii="Arial" w:hAnsi="Arial"/>
          <w:b/>
          <w:bCs/>
        </w:rPr>
        <w:t>invalidit</w:t>
      </w:r>
      <w:r>
        <w:rPr>
          <w:rFonts w:ascii="Arial" w:hAnsi="Arial"/>
          <w:b/>
          <w:bCs/>
        </w:rPr>
        <w:t xml:space="preserve">à </w:t>
      </w:r>
      <w:r>
        <w:rPr>
          <w:rFonts w:ascii="Arial" w:hAnsi="Arial"/>
          <w:b/>
          <w:bCs/>
        </w:rPr>
        <w:t>civile per le malattie rare nel periodo 2014-2018</w:t>
      </w:r>
      <w:r>
        <w:rPr>
          <w:rFonts w:ascii="Arial" w:hAnsi="Arial"/>
        </w:rPr>
        <w:t>. Sono sta</w:t>
      </w:r>
      <w:r>
        <w:rPr>
          <w:rFonts w:ascii="Arial" w:hAnsi="Arial"/>
        </w:rPr>
        <w:t>ti quasi 14.200 i riconoscimenti di invalidit</w:t>
      </w:r>
      <w:r>
        <w:rPr>
          <w:rFonts w:ascii="Arial" w:hAnsi="Arial"/>
        </w:rPr>
        <w:t xml:space="preserve">à </w:t>
      </w:r>
      <w:r>
        <w:rPr>
          <w:rFonts w:ascii="Arial" w:hAnsi="Arial"/>
        </w:rPr>
        <w:t>civile (indennit</w:t>
      </w:r>
      <w:r>
        <w:rPr>
          <w:rFonts w:ascii="Arial" w:hAnsi="Arial"/>
        </w:rPr>
        <w:t xml:space="preserve">à </w:t>
      </w:r>
      <w:r>
        <w:rPr>
          <w:rFonts w:ascii="Arial" w:hAnsi="Arial"/>
        </w:rPr>
        <w:t>di frequenza, assegno di invalidit</w:t>
      </w:r>
      <w:r>
        <w:rPr>
          <w:rFonts w:ascii="Arial" w:hAnsi="Arial"/>
        </w:rPr>
        <w:t>à</w:t>
      </w:r>
      <w:r>
        <w:rPr>
          <w:rFonts w:ascii="Arial" w:hAnsi="Arial"/>
        </w:rPr>
        <w:t>, pensione di invalidit</w:t>
      </w:r>
      <w:r>
        <w:rPr>
          <w:rFonts w:ascii="Arial" w:hAnsi="Arial"/>
        </w:rPr>
        <w:t>à</w:t>
      </w:r>
      <w:r>
        <w:rPr>
          <w:rFonts w:ascii="Arial" w:hAnsi="Arial"/>
        </w:rPr>
        <w:t>, indennit</w:t>
      </w:r>
      <w:r>
        <w:rPr>
          <w:rFonts w:ascii="Arial" w:hAnsi="Arial"/>
        </w:rPr>
        <w:t xml:space="preserve">à </w:t>
      </w:r>
      <w:r>
        <w:rPr>
          <w:rFonts w:ascii="Arial" w:hAnsi="Arial"/>
        </w:rPr>
        <w:t>di accompagnamento) avvenuti nel quinquennio 2014-2018 per le 16 malattie rare oggetto a fine 2018 delle Linee Guida con</w:t>
      </w:r>
      <w:r>
        <w:rPr>
          <w:rFonts w:ascii="Arial" w:hAnsi="Arial"/>
        </w:rPr>
        <w:t xml:space="preserve"> una </w:t>
      </w:r>
      <w:r>
        <w:rPr>
          <w:rFonts w:ascii="Arial" w:hAnsi="Arial"/>
          <w:b/>
          <w:bCs/>
        </w:rPr>
        <w:t>media di poco superiore ai 3.000 casi annui</w:t>
      </w:r>
      <w:r>
        <w:rPr>
          <w:rFonts w:ascii="Arial" w:hAnsi="Arial"/>
        </w:rPr>
        <w:t xml:space="preserve"> nell</w:t>
      </w:r>
      <w:r>
        <w:rPr>
          <w:rFonts w:ascii="Arial" w:hAnsi="Arial"/>
        </w:rPr>
        <w:t>’</w:t>
      </w:r>
      <w:r>
        <w:rPr>
          <w:rFonts w:ascii="Arial" w:hAnsi="Arial"/>
        </w:rPr>
        <w:t xml:space="preserve">ultimo triennio. I riconoscimenti sanitari per malattia rara nel periodo 2014-2018 hanno rappresentato mediamente lo 0,40% del totale con una stima di </w:t>
      </w:r>
      <w:r>
        <w:rPr>
          <w:rFonts w:ascii="Arial" w:hAnsi="Arial"/>
          <w:b/>
          <w:bCs/>
        </w:rPr>
        <w:t xml:space="preserve">spesa annua che </w:t>
      </w:r>
      <w:r>
        <w:rPr>
          <w:rFonts w:ascii="Arial" w:hAnsi="Arial"/>
          <w:b/>
          <w:bCs/>
        </w:rPr>
        <w:t xml:space="preserve">è </w:t>
      </w:r>
      <w:r>
        <w:rPr>
          <w:rFonts w:ascii="Arial" w:hAnsi="Arial"/>
          <w:b/>
          <w:bCs/>
        </w:rPr>
        <w:t>salita dai 9,5 milioni di euro de</w:t>
      </w:r>
      <w:r>
        <w:rPr>
          <w:rFonts w:ascii="Arial" w:hAnsi="Arial"/>
          <w:b/>
          <w:bCs/>
        </w:rPr>
        <w:t>l 2014 ai quasi 14,5 milioni di euro del 2018</w:t>
      </w:r>
      <w:r>
        <w:rPr>
          <w:rFonts w:ascii="Arial" w:hAnsi="Arial"/>
        </w:rPr>
        <w:t>.</w:t>
      </w:r>
    </w:p>
    <w:p w:rsidR="00CE0900" w:rsidRDefault="00470D8F">
      <w:pPr>
        <w:pStyle w:val="Testonormale"/>
        <w:spacing w:line="276" w:lineRule="auto"/>
        <w:jc w:val="both"/>
      </w:pPr>
      <w:r>
        <w:rPr>
          <w:rFonts w:ascii="Arial" w:hAnsi="Arial"/>
          <w:sz w:val="22"/>
          <w:szCs w:val="22"/>
        </w:rPr>
        <w:lastRenderedPageBreak/>
        <w:t>L</w:t>
      </w:r>
      <w:r>
        <w:rPr>
          <w:rFonts w:ascii="Arial" w:hAnsi="Arial"/>
          <w:sz w:val="22"/>
          <w:szCs w:val="22"/>
        </w:rPr>
        <w:t>’</w:t>
      </w:r>
      <w:r>
        <w:rPr>
          <w:rFonts w:ascii="Arial" w:hAnsi="Arial"/>
          <w:sz w:val="22"/>
          <w:szCs w:val="22"/>
        </w:rPr>
        <w:t xml:space="preserve">altra faccia della medaglia </w:t>
      </w:r>
      <w:r>
        <w:rPr>
          <w:rFonts w:ascii="Arial" w:hAnsi="Arial"/>
          <w:sz w:val="22"/>
          <w:szCs w:val="22"/>
        </w:rPr>
        <w:t xml:space="preserve">è </w:t>
      </w:r>
      <w:r>
        <w:rPr>
          <w:rFonts w:ascii="Arial" w:hAnsi="Arial"/>
          <w:sz w:val="22"/>
          <w:szCs w:val="22"/>
        </w:rPr>
        <w:t xml:space="preserve">rappresentata dalle </w:t>
      </w:r>
      <w:proofErr w:type="spellStart"/>
      <w:r>
        <w:rPr>
          <w:rFonts w:ascii="Arial" w:hAnsi="Arial"/>
          <w:sz w:val="22"/>
          <w:szCs w:val="22"/>
        </w:rPr>
        <w:t>criticit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à </w:t>
      </w:r>
      <w:r>
        <w:rPr>
          <w:rFonts w:ascii="Arial" w:hAnsi="Arial"/>
          <w:sz w:val="22"/>
          <w:szCs w:val="22"/>
        </w:rPr>
        <w:t xml:space="preserve">che persistono, come </w:t>
      </w:r>
      <w:r>
        <w:rPr>
          <w:rFonts w:ascii="Arial" w:hAnsi="Arial"/>
          <w:b/>
          <w:bCs/>
          <w:sz w:val="22"/>
          <w:szCs w:val="22"/>
        </w:rPr>
        <w:t xml:space="preserve">le </w:t>
      </w:r>
      <w:proofErr w:type="spellStart"/>
      <w:r>
        <w:rPr>
          <w:rFonts w:ascii="Arial" w:hAnsi="Arial"/>
          <w:b/>
          <w:bCs/>
          <w:sz w:val="22"/>
          <w:szCs w:val="22"/>
        </w:rPr>
        <w:t>disomogeneit</w:t>
      </w:r>
      <w:proofErr w:type="spellEnd"/>
      <w:r>
        <w:rPr>
          <w:rFonts w:ascii="Arial" w:hAnsi="Arial"/>
          <w:b/>
          <w:bCs/>
          <w:sz w:val="22"/>
          <w:szCs w:val="22"/>
          <w:lang w:val="fr-FR"/>
        </w:rPr>
        <w:t xml:space="preserve">à </w:t>
      </w:r>
      <w:r>
        <w:rPr>
          <w:rFonts w:ascii="Arial" w:hAnsi="Arial"/>
          <w:b/>
          <w:bCs/>
          <w:sz w:val="22"/>
          <w:szCs w:val="22"/>
        </w:rPr>
        <w:t>territoriali nell</w:t>
      </w:r>
      <w:r>
        <w:rPr>
          <w:rFonts w:ascii="Arial" w:hAnsi="Arial"/>
          <w:b/>
          <w:bCs/>
          <w:sz w:val="22"/>
          <w:szCs w:val="22"/>
        </w:rPr>
        <w:t>’</w:t>
      </w:r>
      <w:r>
        <w:rPr>
          <w:rFonts w:ascii="Arial" w:hAnsi="Arial"/>
          <w:b/>
          <w:bCs/>
          <w:sz w:val="22"/>
          <w:szCs w:val="22"/>
        </w:rPr>
        <w:t xml:space="preserve">accesso ai servizi sanitari, </w:t>
      </w:r>
      <w:proofErr w:type="gramStart"/>
      <w:r>
        <w:rPr>
          <w:rFonts w:ascii="Arial" w:hAnsi="Arial"/>
          <w:b/>
          <w:bCs/>
          <w:sz w:val="22"/>
          <w:szCs w:val="22"/>
        </w:rPr>
        <w:t>socio-sanitari</w:t>
      </w:r>
      <w:proofErr w:type="gramEnd"/>
      <w:r>
        <w:rPr>
          <w:rFonts w:ascii="Arial" w:hAnsi="Arial"/>
          <w:b/>
          <w:bCs/>
          <w:sz w:val="22"/>
          <w:szCs w:val="22"/>
        </w:rPr>
        <w:t xml:space="preserve"> e sociali</w:t>
      </w:r>
      <w:r>
        <w:rPr>
          <w:rFonts w:ascii="Arial" w:hAnsi="Arial"/>
          <w:sz w:val="22"/>
          <w:szCs w:val="22"/>
        </w:rPr>
        <w:t xml:space="preserve"> di cui sono esemplificazione:</w:t>
      </w:r>
    </w:p>
    <w:p w:rsidR="00CE0900" w:rsidRDefault="00470D8F">
      <w:pPr>
        <w:pStyle w:val="Testonormale"/>
        <w:numPr>
          <w:ilvl w:val="1"/>
          <w:numId w:val="2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le </w:t>
      </w:r>
      <w:proofErr w:type="spellStart"/>
      <w:r>
        <w:rPr>
          <w:rFonts w:ascii="Arial" w:hAnsi="Arial"/>
          <w:sz w:val="22"/>
          <w:szCs w:val="22"/>
        </w:rPr>
        <w:t>disequit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à </w:t>
      </w:r>
      <w:r>
        <w:rPr>
          <w:rFonts w:ascii="Arial" w:hAnsi="Arial"/>
          <w:sz w:val="22"/>
          <w:szCs w:val="22"/>
        </w:rPr>
        <w:t xml:space="preserve">nella distribuzione geografica degli ospedali italiani che partecipano alle </w:t>
      </w:r>
      <w:proofErr w:type="spellStart"/>
      <w:r>
        <w:rPr>
          <w:rFonts w:ascii="Arial" w:hAnsi="Arial"/>
          <w:sz w:val="22"/>
          <w:szCs w:val="22"/>
        </w:rPr>
        <w:t>ERNs</w:t>
      </w:r>
      <w:proofErr w:type="spellEnd"/>
      <w:r>
        <w:rPr>
          <w:rFonts w:ascii="Arial" w:hAnsi="Arial"/>
          <w:sz w:val="22"/>
          <w:szCs w:val="22"/>
        </w:rPr>
        <w:t>: il 66,7% (n= 44) degli ospedali che partecipano ad almeno una ERN si trova nelle regioni settentrionali, il 19,7% (n=13) al centro e appena il 13,6% (n=9) nel mezzo</w:t>
      </w:r>
      <w:r>
        <w:rPr>
          <w:rFonts w:ascii="Arial" w:hAnsi="Arial"/>
          <w:sz w:val="22"/>
          <w:szCs w:val="22"/>
        </w:rPr>
        <w:t>giorno, ...);</w:t>
      </w:r>
    </w:p>
    <w:p w:rsidR="00CE0900" w:rsidRDefault="00470D8F">
      <w:pPr>
        <w:pStyle w:val="Testonormale"/>
        <w:numPr>
          <w:ilvl w:val="1"/>
          <w:numId w:val="2"/>
        </w:numPr>
        <w:spacing w:line="276" w:lineRule="auto"/>
        <w:jc w:val="both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la</w:t>
      </w:r>
      <w:proofErr w:type="spellEnd"/>
      <w:r>
        <w:rPr>
          <w:rFonts w:ascii="Arial" w:hAnsi="Arial"/>
          <w:sz w:val="22"/>
          <w:szCs w:val="22"/>
        </w:rPr>
        <w:t xml:space="preserve"> ancora parzialmente disomogenea attivazione dello screening neonatale esteso di cui alla Legge n. 167/2016;</w:t>
      </w:r>
    </w:p>
    <w:p w:rsidR="00CE0900" w:rsidRDefault="00470D8F">
      <w:pPr>
        <w:pStyle w:val="Testonormale"/>
        <w:numPr>
          <w:ilvl w:val="1"/>
          <w:numId w:val="2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il diverso grado di regolamentazione della somministrazione di terapie farmacologiche e non in ambito scolastico oggetto di specifi</w:t>
      </w:r>
      <w:r>
        <w:rPr>
          <w:rFonts w:ascii="Arial" w:hAnsi="Arial"/>
          <w:sz w:val="22"/>
          <w:szCs w:val="22"/>
        </w:rPr>
        <w:t xml:space="preserve">ca disciplina in 9 Regioni/PPAA; </w:t>
      </w:r>
    </w:p>
    <w:p w:rsidR="00CE0900" w:rsidRDefault="00470D8F">
      <w:pPr>
        <w:pStyle w:val="Testonormale"/>
        <w:numPr>
          <w:ilvl w:val="1"/>
          <w:numId w:val="2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la carenza di programmi di sollievo presso strutture di degenza competenti non ospedaliere per le persone con malattia rara previsti o </w:t>
      </w:r>
      <w:r>
        <w:rPr>
          <w:rFonts w:ascii="Arial" w:hAnsi="Arial"/>
          <w:i/>
          <w:iCs/>
          <w:sz w:val="22"/>
          <w:szCs w:val="22"/>
        </w:rPr>
        <w:t>in fieri</w:t>
      </w:r>
      <w:r>
        <w:rPr>
          <w:rFonts w:ascii="Arial" w:hAnsi="Arial"/>
          <w:sz w:val="22"/>
          <w:szCs w:val="22"/>
        </w:rPr>
        <w:t xml:space="preserve"> solo in 9 Regioni/PPAA;</w:t>
      </w:r>
    </w:p>
    <w:p w:rsidR="00CE0900" w:rsidRDefault="00CE0900">
      <w:pPr>
        <w:pStyle w:val="Testonormale"/>
        <w:spacing w:line="276" w:lineRule="auto"/>
        <w:ind w:left="720"/>
        <w:jc w:val="both"/>
      </w:pPr>
    </w:p>
    <w:p w:rsidR="00CE0900" w:rsidRDefault="00470D8F">
      <w:pPr>
        <w:pStyle w:val="Testonormale"/>
        <w:numPr>
          <w:ilvl w:val="0"/>
          <w:numId w:val="2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la mancata adozione dei necessari strumenti amministr</w:t>
      </w:r>
      <w:r>
        <w:rPr>
          <w:rFonts w:ascii="Arial" w:hAnsi="Arial"/>
          <w:b/>
          <w:bCs/>
          <w:sz w:val="22"/>
          <w:szCs w:val="22"/>
        </w:rPr>
        <w:t>ativi per riconoscere e garantire l</w:t>
      </w:r>
      <w:r>
        <w:rPr>
          <w:rFonts w:ascii="Arial" w:hAnsi="Arial"/>
          <w:b/>
          <w:bCs/>
          <w:sz w:val="22"/>
          <w:szCs w:val="22"/>
        </w:rPr>
        <w:t>’</w:t>
      </w:r>
      <w:r>
        <w:rPr>
          <w:rFonts w:ascii="Arial" w:hAnsi="Arial"/>
          <w:b/>
          <w:bCs/>
          <w:sz w:val="22"/>
          <w:szCs w:val="22"/>
        </w:rPr>
        <w:t>adeguata remunerazione delle prestazioni di consulenza a distanza da parte dei presidi/centri di competenza</w:t>
      </w:r>
      <w:r>
        <w:rPr>
          <w:rFonts w:ascii="Arial" w:hAnsi="Arial"/>
          <w:sz w:val="22"/>
          <w:szCs w:val="22"/>
        </w:rPr>
        <w:t xml:space="preserve">; </w:t>
      </w:r>
    </w:p>
    <w:p w:rsidR="00CE0900" w:rsidRDefault="00CE0900">
      <w:pPr>
        <w:pStyle w:val="Testonormale"/>
        <w:spacing w:line="276" w:lineRule="auto"/>
        <w:ind w:left="720"/>
        <w:jc w:val="both"/>
      </w:pPr>
    </w:p>
    <w:p w:rsidR="00CE0900" w:rsidRDefault="00470D8F">
      <w:pPr>
        <w:pStyle w:val="Testonormale"/>
        <w:numPr>
          <w:ilvl w:val="0"/>
          <w:numId w:val="2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la mancata adozione di soluzioni gestionali ed amministrative tendenti a valutare la </w:t>
      </w:r>
      <w:proofErr w:type="spellStart"/>
      <w:r>
        <w:rPr>
          <w:rFonts w:ascii="Arial" w:hAnsi="Arial"/>
          <w:b/>
          <w:bCs/>
          <w:sz w:val="22"/>
          <w:szCs w:val="22"/>
        </w:rPr>
        <w:t>fattibilit</w:t>
      </w:r>
      <w:proofErr w:type="spellEnd"/>
      <w:r>
        <w:rPr>
          <w:rFonts w:ascii="Arial" w:hAnsi="Arial"/>
          <w:b/>
          <w:bCs/>
          <w:sz w:val="22"/>
          <w:szCs w:val="22"/>
          <w:lang w:val="fr-FR"/>
        </w:rPr>
        <w:t xml:space="preserve">à </w:t>
      </w:r>
      <w:r>
        <w:rPr>
          <w:rFonts w:ascii="Arial" w:hAnsi="Arial"/>
          <w:b/>
          <w:bCs/>
          <w:sz w:val="22"/>
          <w:szCs w:val="22"/>
        </w:rPr>
        <w:t xml:space="preserve">di </w:t>
      </w:r>
      <w:proofErr w:type="spellStart"/>
      <w:r>
        <w:rPr>
          <w:rFonts w:ascii="Arial" w:hAnsi="Arial"/>
          <w:b/>
          <w:bCs/>
          <w:sz w:val="22"/>
          <w:szCs w:val="22"/>
        </w:rPr>
        <w:t>modalit</w:t>
      </w:r>
      <w:proofErr w:type="spellEnd"/>
      <w:r>
        <w:rPr>
          <w:rFonts w:ascii="Arial" w:hAnsi="Arial"/>
          <w:b/>
          <w:bCs/>
          <w:sz w:val="22"/>
          <w:szCs w:val="22"/>
          <w:lang w:val="fr-FR"/>
        </w:rPr>
        <w:t xml:space="preserve">à </w:t>
      </w:r>
      <w:r>
        <w:rPr>
          <w:rFonts w:ascii="Arial" w:hAnsi="Arial"/>
          <w:b/>
          <w:bCs/>
          <w:sz w:val="22"/>
          <w:szCs w:val="22"/>
        </w:rPr>
        <w:t xml:space="preserve">di remunerazione che considerino la </w:t>
      </w:r>
      <w:proofErr w:type="spellStart"/>
      <w:r>
        <w:rPr>
          <w:rFonts w:ascii="Arial" w:hAnsi="Arial"/>
          <w:b/>
          <w:bCs/>
          <w:sz w:val="22"/>
          <w:szCs w:val="22"/>
        </w:rPr>
        <w:t>complessit</w:t>
      </w:r>
      <w:proofErr w:type="spellEnd"/>
      <w:r>
        <w:rPr>
          <w:rFonts w:ascii="Arial" w:hAnsi="Arial"/>
          <w:b/>
          <w:bCs/>
          <w:sz w:val="22"/>
          <w:szCs w:val="22"/>
          <w:lang w:val="fr-FR"/>
        </w:rPr>
        <w:t xml:space="preserve">à </w:t>
      </w:r>
      <w:r>
        <w:rPr>
          <w:rFonts w:ascii="Arial" w:hAnsi="Arial"/>
          <w:b/>
          <w:bCs/>
          <w:sz w:val="22"/>
          <w:szCs w:val="22"/>
        </w:rPr>
        <w:t xml:space="preserve">della gestione assistenziale della persona con malattia rara nel </w:t>
      </w:r>
      <w:r>
        <w:rPr>
          <w:rFonts w:ascii="Arial" w:hAnsi="Arial"/>
          <w:b/>
          <w:bCs/>
          <w:i/>
          <w:iCs/>
          <w:sz w:val="22"/>
          <w:szCs w:val="22"/>
          <w:lang w:val="en-US"/>
        </w:rPr>
        <w:t>setting</w:t>
      </w:r>
      <w:r>
        <w:rPr>
          <w:rFonts w:ascii="Arial" w:hAnsi="Arial"/>
          <w:b/>
          <w:bCs/>
          <w:sz w:val="22"/>
          <w:szCs w:val="22"/>
        </w:rPr>
        <w:t xml:space="preserve"> ospedaliero e territoriale</w:t>
      </w:r>
      <w:r>
        <w:rPr>
          <w:rFonts w:ascii="Arial" w:hAnsi="Arial"/>
          <w:sz w:val="22"/>
          <w:szCs w:val="22"/>
        </w:rPr>
        <w:t>.</w:t>
      </w:r>
    </w:p>
    <w:sectPr w:rsidR="00CE0900">
      <w:headerReference w:type="default" r:id="rId7"/>
      <w:footerReference w:type="default" r:id="rId8"/>
      <w:pgSz w:w="11900" w:h="16840"/>
      <w:pgMar w:top="2977" w:right="992" w:bottom="709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D8F" w:rsidRDefault="00470D8F">
      <w:pPr>
        <w:spacing w:after="0" w:line="240" w:lineRule="auto"/>
      </w:pPr>
      <w:r>
        <w:separator/>
      </w:r>
    </w:p>
  </w:endnote>
  <w:endnote w:type="continuationSeparator" w:id="0">
    <w:p w:rsidR="00470D8F" w:rsidRDefault="00470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900" w:rsidRDefault="00470D8F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D8F" w:rsidRDefault="00470D8F">
      <w:r>
        <w:separator/>
      </w:r>
    </w:p>
  </w:footnote>
  <w:footnote w:type="continuationSeparator" w:id="0">
    <w:p w:rsidR="00470D8F" w:rsidRDefault="00470D8F">
      <w:r>
        <w:continuationSeparator/>
      </w:r>
    </w:p>
  </w:footnote>
  <w:footnote w:type="continuationNotice" w:id="1">
    <w:p w:rsidR="00470D8F" w:rsidRDefault="00470D8F"/>
  </w:footnote>
  <w:footnote w:id="2">
    <w:p w:rsidR="00CE0900" w:rsidRDefault="00470D8F">
      <w:pPr>
        <w:pStyle w:val="Testonormale"/>
        <w:jc w:val="both"/>
      </w:pPr>
      <w:r>
        <w:rPr>
          <w:rFonts w:ascii="Arial" w:eastAsia="Arial" w:hAnsi="Arial" w:cs="Arial"/>
          <w:sz w:val="22"/>
          <w:szCs w:val="22"/>
          <w:vertAlign w:val="superscript"/>
        </w:rPr>
        <w:footnoteRef/>
      </w:r>
      <w:r>
        <w:rPr>
          <w:rFonts w:ascii="Cambria" w:eastAsia="Cambria" w:hAnsi="Cambria" w:cs="Cambria"/>
          <w:sz w:val="20"/>
          <w:szCs w:val="20"/>
        </w:rPr>
        <w:t xml:space="preserve"> Fonte: lista AIFA (che contiene non solo i farmaci orfani ma anche i cosiddetti </w:t>
      </w:r>
      <w:r>
        <w:rPr>
          <w:rFonts w:ascii="Cambria" w:eastAsia="Cambria" w:hAnsi="Cambria" w:cs="Cambria"/>
          <w:sz w:val="20"/>
          <w:szCs w:val="20"/>
          <w:lang w:val="de-DE"/>
        </w:rPr>
        <w:t>“</w:t>
      </w:r>
      <w:r>
        <w:rPr>
          <w:rFonts w:ascii="Cambria" w:eastAsia="Cambria" w:hAnsi="Cambria" w:cs="Cambria"/>
          <w:sz w:val="20"/>
          <w:szCs w:val="20"/>
          <w:lang w:val="en-US"/>
        </w:rPr>
        <w:t>orphan-like</w:t>
      </w:r>
      <w:r>
        <w:rPr>
          <w:rFonts w:ascii="Cambria" w:eastAsia="Cambria" w:hAnsi="Cambria" w:cs="Cambria"/>
          <w:sz w:val="20"/>
          <w:szCs w:val="20"/>
        </w:rPr>
        <w:t xml:space="preserve">” e quelli per il trattamento di malattie rare presenti nel registro </w:t>
      </w:r>
      <w:proofErr w:type="spellStart"/>
      <w:r>
        <w:rPr>
          <w:rFonts w:ascii="Cambria" w:eastAsia="Cambria" w:hAnsi="Cambria" w:cs="Cambria"/>
          <w:sz w:val="20"/>
          <w:szCs w:val="20"/>
        </w:rPr>
        <w:t>Orphanet</w:t>
      </w:r>
      <w:proofErr w:type="spellEnd"/>
      <w:r>
        <w:rPr>
          <w:rFonts w:ascii="Cambria" w:eastAsia="Cambria" w:hAnsi="Cambria" w:cs="Cambria"/>
          <w:sz w:val="20"/>
          <w:szCs w:val="20"/>
        </w:rPr>
        <w:t>). I dati 2018 non sono ancora disponibili.</w:t>
      </w:r>
    </w:p>
  </w:footnote>
  <w:footnote w:id="3">
    <w:p w:rsidR="00CE0900" w:rsidRDefault="00470D8F">
      <w:pPr>
        <w:pStyle w:val="Testonotaapidipagina"/>
      </w:pPr>
      <w:r>
        <w:rPr>
          <w:rFonts w:ascii="Arial" w:eastAsia="Arial" w:hAnsi="Arial" w:cs="Arial"/>
          <w:sz w:val="22"/>
          <w:szCs w:val="22"/>
          <w:vertAlign w:val="superscript"/>
        </w:rPr>
        <w:footnoteRef/>
      </w:r>
      <w:r>
        <w:rPr>
          <w:rFonts w:ascii="Cambria" w:eastAsia="Cambria" w:hAnsi="Cambria" w:cs="Cambria"/>
        </w:rPr>
        <w:t xml:space="preserve"> Al momento della pubblicazione non è anc</w:t>
      </w:r>
      <w:r>
        <w:rPr>
          <w:rFonts w:ascii="Cambria" w:eastAsia="Cambria" w:hAnsi="Cambria" w:cs="Cambria"/>
        </w:rPr>
        <w:t>ora disponibile il dato 2018.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900" w:rsidRDefault="00470D8F">
    <w:pPr>
      <w:pStyle w:val="Intestazione"/>
      <w:jc w:val="right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438150</wp:posOffset>
          </wp:positionH>
          <wp:positionV relativeFrom="page">
            <wp:posOffset>660400</wp:posOffset>
          </wp:positionV>
          <wp:extent cx="1652424" cy="826212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424" cy="8262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1419225" cy="1392244"/>
          <wp:effectExtent l="0" t="0" r="0" b="0"/>
          <wp:docPr id="1073741825" name="officeArt object" descr="C:\Users\Mara.Cochetti\AppData\Local\Microsoft\Windows\INetCache\Content.Word\logo_monitorare_19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C:\Users\Mara.Cochetti\AppData\Local\Microsoft\Windows\INetCache\Content.Word\logo_monitorare_19.jp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139224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16AAD"/>
    <w:multiLevelType w:val="hybridMultilevel"/>
    <w:tmpl w:val="7BA01A72"/>
    <w:styleLink w:val="Stileimportato1"/>
    <w:lvl w:ilvl="0" w:tplc="D20EF7A4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80B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E2285C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8A8A0A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8437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5C3758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A2AD30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9A5D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2059AC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7717E6B"/>
    <w:multiLevelType w:val="hybridMultilevel"/>
    <w:tmpl w:val="7BA01A72"/>
    <w:numStyleLink w:val="Stileimportato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900"/>
    <w:rsid w:val="000021A0"/>
    <w:rsid w:val="00470D8F"/>
    <w:rsid w:val="00CE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338C86-7FBB-4E9E-B10F-A4D293EC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idipagina">
    <w:name w:val="footer"/>
    <w:pPr>
      <w:tabs>
        <w:tab w:val="center" w:pos="4819"/>
        <w:tab w:val="right" w:pos="9638"/>
      </w:tabs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stonormale">
    <w:name w:val="Plain Text"/>
    <w:pPr>
      <w:spacing w:after="160" w:line="259" w:lineRule="auto"/>
    </w:pPr>
    <w:rPr>
      <w:rFonts w:ascii="Consolas" w:eastAsia="Consolas" w:hAnsi="Consolas" w:cs="Consolas"/>
      <w:color w:val="000000"/>
      <w:sz w:val="21"/>
      <w:szCs w:val="21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Testonotaapidipagina">
    <w:name w:val="footnote text"/>
    <w:pPr>
      <w:spacing w:after="160" w:line="259" w:lineRule="auto"/>
    </w:pPr>
    <w:rPr>
      <w:rFonts w:ascii="Calibri" w:eastAsia="Calibri" w:hAnsi="Calibri" w:cs="Calibri"/>
      <w:color w:val="000000"/>
      <w:u w:color="000000"/>
    </w:rPr>
  </w:style>
  <w:style w:type="paragraph" w:styleId="Paragrafoelenco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1766</Words>
  <Characters>10069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Franzellitti Viviana</dc:creator>
  <cp:lastModifiedBy>Franzellitti Viviana</cp:lastModifiedBy>
  <cp:revision>2</cp:revision>
  <dcterms:created xsi:type="dcterms:W3CDTF">2019-07-03T13:39:00Z</dcterms:created>
  <dcterms:modified xsi:type="dcterms:W3CDTF">2019-07-03T13:39:00Z</dcterms:modified>
</cp:coreProperties>
</file>